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72"/>
        <w:gridCol w:w="72"/>
        <w:gridCol w:w="72"/>
        <w:gridCol w:w="5469"/>
        <w:gridCol w:w="72"/>
        <w:gridCol w:w="1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十三师财政专项资金拨付审批表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申请部门（单位）：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上级专项资金                     师本级预算资金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项目资金预算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￥                          （大写金额： 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已拨付金额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￥                          （大写金额： 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本次拨付金额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￥                          （大写金额：                             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项目主管部门意见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财政部门意见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分管师领导意见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分管财政师领导意见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：1.未明确具体项目和分配标准需二次分配的专项资金,项目主管部门提出分配意见后,需项目主管部门的师分管领导和分管财政师领导审核签批；2.中央、兵团专项资金有明确项目和分配标准的，经项目主管部门提出分配意见后，师财政部门即可拨付；师本级财政预算安排的的专项，由师财政部门根据批复的预算直接拨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经办人：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800" w:firstLineChars="9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4087"/>
    <w:rsid w:val="2655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2020-04-10T02:43:00Z</dcterms:created>
  <dc:creator>陌上花开</dc:creator>
  <cp:lastModifiedBy>陌上花开</cp:lastModifiedBy>
  <dcterms:modified xsi:type="dcterms:W3CDTF">2020-04-10T02:43:56Z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