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b/>
          <w:bCs/>
          <w:color w:val="auto"/>
          <w:sz w:val="28"/>
          <w:szCs w:val="28"/>
        </w:rPr>
      </w:pPr>
      <w:r>
        <w:rPr>
          <w:rFonts w:ascii="宋体" w:hAnsi="宋体" w:eastAsia="宋体" w:cs="宋体"/>
          <w:color w:val="FF0000"/>
          <w:sz w:val="24"/>
        </w:rPr>
        <w:br w:type="textWrapping"/>
      </w:r>
    </w:p>
    <w:p>
      <w:pPr>
        <w:spacing w:line="560" w:lineRule="exact"/>
        <w:jc w:val="center"/>
        <w:rPr>
          <w:rFonts w:ascii="仿宋" w:hAnsi="仿宋" w:eastAsia="仿宋"/>
          <w:b/>
          <w:bCs/>
          <w:color w:val="auto"/>
          <w:sz w:val="28"/>
          <w:szCs w:val="28"/>
        </w:rPr>
      </w:pPr>
      <w:r>
        <w:rPr>
          <w:rFonts w:hint="eastAsia" w:ascii="仿宋" w:hAnsi="仿宋" w:eastAsia="仿宋"/>
          <w:b/>
          <w:bCs/>
          <w:color w:val="auto"/>
          <w:sz w:val="28"/>
          <w:szCs w:val="28"/>
        </w:rPr>
        <w:t xml:space="preserve">             </w:t>
      </w:r>
    </w:p>
    <w:p>
      <w:pPr>
        <w:spacing w:line="560" w:lineRule="exact"/>
        <w:jc w:val="center"/>
        <w:rPr>
          <w:rFonts w:ascii="仿宋" w:hAnsi="仿宋" w:eastAsia="仿宋"/>
          <w:b/>
          <w:bCs/>
          <w:color w:val="auto"/>
          <w:sz w:val="44"/>
        </w:rPr>
      </w:pPr>
      <w:r>
        <w:rPr>
          <w:rFonts w:hint="eastAsia" w:ascii="仿宋" w:hAnsi="仿宋" w:eastAsia="仿宋"/>
          <w:b/>
          <w:bCs/>
          <w:color w:val="auto"/>
          <w:sz w:val="28"/>
          <w:szCs w:val="28"/>
        </w:rPr>
        <w:t xml:space="preserve">       </w:t>
      </w:r>
      <w:r>
        <w:rPr>
          <w:rFonts w:hint="eastAsia" w:ascii="仿宋" w:hAnsi="仿宋" w:eastAsia="仿宋"/>
          <w:b/>
          <w:bCs/>
          <w:color w:val="auto"/>
          <w:sz w:val="44"/>
        </w:rPr>
        <w:t xml:space="preserve">   </w:t>
      </w:r>
    </w:p>
    <w:p>
      <w:pPr>
        <w:spacing w:line="560" w:lineRule="exact"/>
        <w:jc w:val="center"/>
        <w:rPr>
          <w:rFonts w:ascii="仿宋" w:hAnsi="仿宋" w:eastAsia="仿宋"/>
          <w:b/>
          <w:bCs/>
          <w:color w:val="auto"/>
          <w:sz w:val="32"/>
          <w:szCs w:val="32"/>
        </w:rPr>
      </w:pPr>
      <w:r>
        <w:rPr>
          <w:rFonts w:hint="eastAsia" w:ascii="仿宋" w:hAnsi="仿宋" w:eastAsia="仿宋"/>
          <w:b/>
          <w:bCs/>
          <w:color w:val="auto"/>
          <w:sz w:val="44"/>
        </w:rPr>
        <w:t xml:space="preserve">                       </w:t>
      </w:r>
      <w:r>
        <w:rPr>
          <w:rFonts w:hint="eastAsia" w:ascii="方正仿宋简体" w:hAnsi="方正仿宋简体" w:eastAsia="方正仿宋简体" w:cs="方正仿宋简体"/>
          <w:b/>
          <w:bCs/>
          <w:color w:val="auto"/>
          <w:spacing w:val="-45"/>
          <w:sz w:val="32"/>
          <w:szCs w:val="32"/>
        </w:rPr>
        <w:t>生态环境局</w:t>
      </w:r>
    </w:p>
    <w:p>
      <w:pPr>
        <w:spacing w:line="560" w:lineRule="exact"/>
        <w:rPr>
          <w:rFonts w:ascii="仿宋" w:hAnsi="仿宋" w:eastAsia="仿宋"/>
          <w:color w:val="auto"/>
          <w:sz w:val="18"/>
          <w:szCs w:val="18"/>
        </w:rPr>
      </w:pPr>
    </w:p>
    <w:p>
      <w:pPr>
        <w:spacing w:line="560" w:lineRule="exact"/>
        <w:rPr>
          <w:rFonts w:ascii="仿宋" w:hAnsi="仿宋" w:eastAsia="仿宋"/>
          <w:color w:val="auto"/>
          <w:sz w:val="18"/>
          <w:szCs w:val="18"/>
        </w:rPr>
      </w:pPr>
    </w:p>
    <w:p>
      <w:pPr>
        <w:spacing w:line="560" w:lineRule="exact"/>
        <w:rPr>
          <w:rFonts w:ascii="仿宋" w:hAnsi="仿宋" w:eastAsia="仿宋"/>
          <w:color w:val="auto"/>
          <w:sz w:val="24"/>
        </w:rPr>
      </w:pPr>
    </w:p>
    <w:p>
      <w:pPr>
        <w:spacing w:line="560" w:lineRule="exact"/>
        <w:jc w:val="center"/>
        <w:rPr>
          <w:rFonts w:ascii="仿宋" w:hAnsi="仿宋" w:eastAsia="方正仿宋简体" w:cs="方正仿宋简体"/>
          <w:color w:val="auto"/>
          <w:sz w:val="32"/>
          <w:szCs w:val="32"/>
        </w:rPr>
      </w:pPr>
      <w:r>
        <w:rPr>
          <w:rFonts w:hint="eastAsia" w:ascii="方正仿宋简体" w:hAnsi="方正仿宋简体" w:eastAsia="方正仿宋简体" w:cs="方正仿宋简体"/>
          <w:color w:val="auto"/>
          <w:sz w:val="32"/>
          <w:szCs w:val="32"/>
        </w:rPr>
        <w:t>师环审〔2020〕</w:t>
      </w:r>
      <w:r>
        <w:rPr>
          <w:rFonts w:hint="eastAsia" w:ascii="方正仿宋简体" w:hAnsi="方正仿宋简体" w:eastAsia="方正仿宋简体" w:cs="方正仿宋简体"/>
          <w:color w:val="auto"/>
          <w:sz w:val="32"/>
          <w:szCs w:val="32"/>
          <w:lang w:val="en-US" w:eastAsia="zh-CN"/>
        </w:rPr>
        <w:t>32</w:t>
      </w:r>
      <w:r>
        <w:rPr>
          <w:rFonts w:hint="eastAsia" w:ascii="方正仿宋简体" w:hAnsi="方正仿宋简体" w:eastAsia="方正仿宋简体" w:cs="方正仿宋简体"/>
          <w:color w:val="auto"/>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仿宋" w:hAnsi="仿宋" w:eastAsia="仿宋" w:cs="方正仿宋简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hanging="301" w:hangingChars="150"/>
        <w:jc w:val="center"/>
        <w:textAlignment w:val="auto"/>
        <w:rPr>
          <w:rFonts w:ascii="仿宋" w:hAnsi="仿宋" w:eastAsia="仿宋"/>
          <w:b/>
          <w:bCs/>
          <w:color w:val="FF0000"/>
          <w:sz w:val="20"/>
          <w:szCs w:val="20"/>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pacing w:val="-11"/>
          <w:sz w:val="44"/>
          <w:szCs w:val="44"/>
        </w:rPr>
        <w:t>关</w:t>
      </w:r>
      <w:r>
        <w:rPr>
          <w:rFonts w:hint="eastAsia" w:ascii="方正小标宋简体" w:hAnsi="方正小标宋简体" w:eastAsia="方正小标宋简体" w:cs="方正小标宋简体"/>
          <w:color w:val="000000" w:themeColor="text1"/>
          <w:sz w:val="44"/>
          <w:szCs w:val="44"/>
        </w:rPr>
        <w:t>于</w:t>
      </w:r>
      <w:r>
        <w:rPr>
          <w:rFonts w:hint="eastAsia" w:ascii="方正小标宋简体" w:hAnsi="仿宋" w:eastAsia="方正小标宋简体"/>
          <w:bCs/>
          <w:sz w:val="44"/>
          <w:szCs w:val="44"/>
        </w:rPr>
        <w:t>哈密燃机电厂燃气锅炉环保排放改造工程</w:t>
      </w:r>
      <w:r>
        <w:rPr>
          <w:rFonts w:hint="eastAsia" w:ascii="方正小标宋简体" w:hAnsi="方正小标宋简体" w:eastAsia="方正小标宋简体" w:cs="方正小标宋简体"/>
          <w:color w:val="000000" w:themeColor="text1"/>
          <w:sz w:val="44"/>
          <w:szCs w:val="44"/>
        </w:rPr>
        <w:t>环境影响报告表的批复</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方正仿宋简体" w:hAnsi="方正仿宋简体" w:eastAsia="方正仿宋简体" w:cs="方正仿宋简体"/>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上海电力哈密宣力燃气发电有限公司：</w:t>
      </w:r>
    </w:p>
    <w:p>
      <w:pPr>
        <w:pStyle w:val="12"/>
        <w:keepNext w:val="0"/>
        <w:keepLines w:val="0"/>
        <w:pageBreakBefore w:val="0"/>
        <w:kinsoku/>
        <w:wordWrap/>
        <w:overflowPunct/>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color w:val="000000" w:themeColor="text1"/>
        </w:rPr>
      </w:pPr>
      <w:r>
        <w:rPr>
          <w:rFonts w:hint="eastAsia" w:ascii="方正仿宋简体" w:hAnsi="方正仿宋简体" w:eastAsia="方正仿宋简体" w:cs="方正仿宋简体"/>
          <w:color w:val="000000" w:themeColor="text1"/>
        </w:rPr>
        <w:t>你单位报送的由新疆鼎耀工程咨询有限公司编制的《</w:t>
      </w:r>
      <w:r>
        <w:rPr>
          <w:rFonts w:hint="eastAsia" w:ascii="方正仿宋简体" w:hAnsi="方正仿宋简体" w:eastAsia="方正仿宋简体" w:cs="方正仿宋简体"/>
        </w:rPr>
        <w:t>哈密燃机电厂燃气锅炉环保排放改造工程环境影响</w:t>
      </w:r>
      <w:bookmarkStart w:id="0" w:name="_GoBack"/>
      <w:bookmarkEnd w:id="0"/>
      <w:r>
        <w:rPr>
          <w:rFonts w:hint="eastAsia" w:ascii="方正仿宋简体" w:hAnsi="方正仿宋简体" w:eastAsia="方正仿宋简体" w:cs="方正仿宋简体"/>
        </w:rPr>
        <w:t>报告表</w:t>
      </w:r>
      <w:r>
        <w:rPr>
          <w:rFonts w:hint="eastAsia" w:ascii="方正仿宋简体" w:hAnsi="方正仿宋简体" w:eastAsia="方正仿宋简体" w:cs="方正仿宋简体"/>
          <w:color w:val="000000" w:themeColor="text1"/>
        </w:rPr>
        <w:t>》（以下简称报告表）已收悉，经研究，批复如下：</w:t>
      </w:r>
    </w:p>
    <w:p>
      <w:pPr>
        <w:pStyle w:val="12"/>
        <w:keepNext w:val="0"/>
        <w:keepLines w:val="0"/>
        <w:pageBreakBefore w:val="0"/>
        <w:kinsoku/>
        <w:overflowPunct/>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themeColor="text1"/>
          <w:kern w:val="2"/>
          <w:lang w:bidi="en-US"/>
        </w:rPr>
      </w:pPr>
      <w:r>
        <w:rPr>
          <w:rFonts w:hint="eastAsia" w:ascii="方正仿宋简体" w:hAnsi="方正仿宋简体" w:eastAsia="方正仿宋简体" w:cs="方正仿宋简体"/>
          <w:color w:val="000000" w:themeColor="text1"/>
        </w:rPr>
        <w:t>一、该项目第十三师淖毛湖农场产业聚集园区南片区，西北距淖毛湖农场约5公里。厂区中心地理坐标为N43°41′32″，E95°01′19″。</w:t>
      </w:r>
      <w:r>
        <w:rPr>
          <w:rFonts w:hint="eastAsia" w:ascii="方正仿宋简体" w:hAnsi="方正仿宋简体" w:eastAsia="方正仿宋简体" w:cs="方正仿宋简体"/>
          <w:kern w:val="2"/>
          <w:sz w:val="32"/>
          <w:szCs w:val="32"/>
        </w:rPr>
        <w:t>项目为技改工程，对新疆哈密煤化工尾气综合利用宣力发电项目（项目名称已变更为“哈密燃机电厂”）厂内现有1台200吨/时燃气锅炉，以及即将建设的1台200吨/时燃气锅炉（环评已批复，至今未建设）增设石灰石-石膏湿法脱硫、低氮燃烧+SCR脱硝设施。</w:t>
      </w:r>
      <w:r>
        <w:rPr>
          <w:rFonts w:hint="eastAsia" w:ascii="方正仿宋简体" w:hAnsi="方正仿宋简体" w:eastAsia="方正仿宋简体" w:cs="方正仿宋简体"/>
        </w:rPr>
        <w:t>项目总投资15521万元</w:t>
      </w:r>
      <w:r>
        <w:rPr>
          <w:rFonts w:hint="eastAsia" w:ascii="方正仿宋简体" w:hAnsi="方正仿宋简体" w:eastAsia="方正仿宋简体" w:cs="方正仿宋简体"/>
          <w:color w:val="000000" w:themeColor="text1"/>
          <w:kern w:val="2"/>
          <w:lang w:bidi="en-US"/>
        </w:rPr>
        <w:t>，</w:t>
      </w:r>
      <w:r>
        <w:rPr>
          <w:rFonts w:hint="eastAsia" w:ascii="方正仿宋简体" w:hAnsi="方正仿宋简体" w:eastAsia="方正仿宋简体" w:cs="方正仿宋简体"/>
        </w:rPr>
        <w:t>均为环保投资。</w:t>
      </w:r>
    </w:p>
    <w:p>
      <w:pPr>
        <w:keepNext w:val="0"/>
        <w:keepLines w:val="0"/>
        <w:pageBreakBefore w:val="0"/>
        <w:kinsoku/>
        <w:wordWrap/>
        <w:overflowPunct/>
        <w:autoSpaceDE/>
        <w:autoSpaceDN/>
        <w:bidi w:val="0"/>
        <w:adjustRightInd/>
        <w:snapToGrid/>
        <w:spacing w:line="560" w:lineRule="exact"/>
        <w:ind w:firstLine="640" w:firstLineChars="200"/>
        <w:jc w:val="both"/>
        <w:textAlignment w:val="auto"/>
        <w:rPr>
          <w:rFonts w:ascii="方正仿宋简体" w:hAnsi="方正仿宋简体" w:eastAsia="方正仿宋简体" w:cs="方正仿宋简体"/>
          <w:color w:val="FF0000"/>
          <w:sz w:val="32"/>
          <w:szCs w:val="32"/>
        </w:rPr>
      </w:pPr>
      <w:r>
        <w:rPr>
          <w:rFonts w:hint="eastAsia" w:ascii="方正仿宋简体" w:hAnsi="方正仿宋简体" w:eastAsia="方正仿宋简体" w:cs="方正仿宋简体"/>
          <w:color w:val="000000" w:themeColor="text1"/>
          <w:sz w:val="32"/>
          <w:szCs w:val="32"/>
        </w:rPr>
        <w:t>二、该项目符合国家和地方相关法律法规和产业政策要求。在严格落实报告表提出的各项环境保护措施和本批复的前提下，项目建设和运营的不良环境影响可以得到减缓和控制，从环境保护角度，我局原则同意你公司按照《报告表》中所列建设项目的性质、规模、地点、采用的生产工艺及环境保护措施进行项目建设。</w:t>
      </w:r>
    </w:p>
    <w:p>
      <w:pPr>
        <w:keepNext w:val="0"/>
        <w:keepLines w:val="0"/>
        <w:pageBreakBefore w:val="0"/>
        <w:kinsoku/>
        <w:wordWrap/>
        <w:overflowPunct/>
        <w:autoSpaceDE/>
        <w:autoSpaceDN/>
        <w:bidi w:val="0"/>
        <w:adjustRightInd/>
        <w:snapToGrid/>
        <w:spacing w:line="560" w:lineRule="exact"/>
        <w:ind w:firstLine="640" w:firstLineChars="200"/>
        <w:jc w:val="both"/>
        <w:textAlignment w:val="auto"/>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三、项目建设和运行管理中应重点做好以下工作:</w:t>
      </w:r>
    </w:p>
    <w:p>
      <w:pPr>
        <w:keepNext w:val="0"/>
        <w:keepLines w:val="0"/>
        <w:pageBreakBefore w:val="0"/>
        <w:kinsoku/>
        <w:wordWrap/>
        <w:overflowPunct/>
        <w:autoSpaceDE/>
        <w:autoSpaceDN/>
        <w:bidi w:val="0"/>
        <w:adjustRightInd/>
        <w:snapToGrid/>
        <w:spacing w:line="560" w:lineRule="exact"/>
        <w:ind w:firstLine="640" w:firstLineChars="200"/>
        <w:jc w:val="both"/>
        <w:textAlignment w:val="auto"/>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（一）认真落实施工期环境保护措施。重点做好施工期的降噪、防尘措施及施工后的场地恢复工作，妥善处置施工固体废物、生活垃圾及生活污水。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（二）严格落实大气污染防治措施。技改后项目燃料不变，仍采用新疆元瑞圣湖能源有限公司、新疆绿斯特能源有限公司</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新疆绿斯特煤化工有限公司</w:t>
      </w:r>
      <w:r>
        <w:rPr>
          <w:rFonts w:hint="eastAsia" w:ascii="方正仿宋简体" w:hAnsi="方正仿宋简体" w:eastAsia="方正仿宋简体" w:cs="方正仿宋简体"/>
          <w:sz w:val="32"/>
          <w:szCs w:val="32"/>
          <w:lang w:val="en-US" w:eastAsia="zh-CN"/>
        </w:rPr>
        <w:t>和</w:t>
      </w:r>
      <w:r>
        <w:rPr>
          <w:rFonts w:hint="eastAsia" w:ascii="方正仿宋简体" w:hAnsi="方正仿宋简体" w:eastAsia="方正仿宋简体" w:cs="方正仿宋简体"/>
          <w:sz w:val="32"/>
          <w:szCs w:val="32"/>
        </w:rPr>
        <w:t>新疆元昊新能源有限公司</w:t>
      </w:r>
      <w:r>
        <w:rPr>
          <w:rFonts w:hint="eastAsia" w:ascii="方正仿宋简体" w:hAnsi="方正仿宋简体" w:eastAsia="方正仿宋简体" w:cs="方正仿宋简体"/>
          <w:sz w:val="32"/>
          <w:szCs w:val="32"/>
          <w:lang w:val="en-US" w:eastAsia="zh-CN"/>
        </w:rPr>
        <w:t>四</w:t>
      </w:r>
      <w:r>
        <w:rPr>
          <w:rFonts w:hint="eastAsia" w:ascii="方正仿宋简体" w:hAnsi="方正仿宋简体" w:eastAsia="方正仿宋简体" w:cs="方正仿宋简体"/>
          <w:sz w:val="32"/>
          <w:szCs w:val="32"/>
        </w:rPr>
        <w:t>家煤化工企业的副产品荒煤气，采用架空管道输送，经哈密燃机电厂厂内煤气处理站处理后进入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锅炉燃烧锅炉采用低氮燃烧技术，产生的烟气经“选择性催化还原脱硝法（SCR）脱硝（脱硝效率不低于82%）+石灰石-石膏湿法脱硫（脱硫效率不低于95.7%，脱硫系统附带70%除尘效率）”处理后，由60米高排气筒排放。烟气中烟尘、SO、NOx排放浓度均满足《火电厂大气污染物排放标准》（GB13223-2011）中燃气锅炉排放浓度限值要求。在排气筒上安装烟尘、SO2和NOx在线监测设备，并与生态环境部门监控系统联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定期对哈密燃机电厂煤气处理站的电捕焦器进行检修，保证其正常运行；同时对站内TSA和干法脱硫等装置的填料进行定期更换，保证设备运行效率达到原设计值。</w:t>
      </w:r>
    </w:p>
    <w:p>
      <w:pPr>
        <w:pStyle w:val="12"/>
        <w:keepNext w:val="0"/>
        <w:keepLines w:val="0"/>
        <w:pageBreakBefore w:val="0"/>
        <w:kinsoku/>
        <w:wordWrap/>
        <w:overflowPunct/>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color w:val="000000" w:themeColor="text1"/>
        </w:rPr>
      </w:pPr>
      <w:r>
        <w:rPr>
          <w:rFonts w:hint="eastAsia" w:ascii="方正仿宋简体" w:hAnsi="方正仿宋简体" w:eastAsia="方正仿宋简体" w:cs="方正仿宋简体"/>
          <w:color w:val="000000" w:themeColor="text1"/>
        </w:rPr>
        <w:t>（三）严格落实水污染防治措施。脱硫废水经中和、絮凝、澄清处理满足《火电厂石灰石/石膏湿法脱硫废水水质控制指标》（DL/T997-2006）后，回用于脱硫系统，未回用部分送至哈密燃机电厂内现有水处理设施，不外排。</w:t>
      </w:r>
    </w:p>
    <w:p>
      <w:pPr>
        <w:pStyle w:val="12"/>
        <w:keepNext w:val="0"/>
        <w:keepLines w:val="0"/>
        <w:pageBreakBefore w:val="0"/>
        <w:kinsoku/>
        <w:wordWrap/>
        <w:overflowPunct/>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color w:val="000000" w:themeColor="text1"/>
          <w:kern w:val="2"/>
        </w:rPr>
      </w:pPr>
      <w:r>
        <w:rPr>
          <w:rFonts w:hint="eastAsia" w:ascii="方正仿宋简体" w:hAnsi="方正仿宋简体" w:eastAsia="方正仿宋简体" w:cs="方正仿宋简体"/>
          <w:color w:val="000000" w:themeColor="text1"/>
        </w:rPr>
        <w:t>（四</w:t>
      </w:r>
      <w:r>
        <w:rPr>
          <w:rFonts w:hint="eastAsia" w:ascii="方正仿宋简体" w:hAnsi="方正仿宋简体" w:eastAsia="方正仿宋简体" w:cs="方正仿宋简体"/>
          <w:color w:val="000000" w:themeColor="text1"/>
          <w:kern w:val="2"/>
        </w:rPr>
        <w:t>）加强噪声污染控制。选择先进可靠的低噪音设备，所有产噪设备均设置单独基础或减振措施，强振动设备与管道间采用柔性连接方式，风机和泵分别布置在相应的风机房、水泵房内。在采取以上降噪措施后，厂界噪声满足《工业企业厂界环境噪声排放标准》（GB12348-2008）中的3类区标准要求。</w:t>
      </w:r>
    </w:p>
    <w:p>
      <w:pPr>
        <w:pStyle w:val="12"/>
        <w:keepNext w:val="0"/>
        <w:keepLines w:val="0"/>
        <w:pageBreakBefore w:val="0"/>
        <w:kinsoku/>
        <w:wordWrap/>
        <w:overflowPunct/>
        <w:autoSpaceDE/>
        <w:autoSpaceDN/>
        <w:bidi w:val="0"/>
        <w:adjustRightInd/>
        <w:snapToGrid/>
        <w:spacing w:line="560" w:lineRule="exact"/>
        <w:ind w:firstLine="640" w:firstLineChars="200"/>
        <w:jc w:val="both"/>
        <w:textAlignment w:val="auto"/>
        <w:rPr>
          <w:rFonts w:ascii="方正仿宋简体" w:hAnsi="方正仿宋简体" w:eastAsia="方正仿宋简体" w:cs="方正仿宋简体"/>
          <w:color w:val="000000" w:themeColor="text1"/>
        </w:rPr>
      </w:pPr>
      <w:r>
        <w:rPr>
          <w:rFonts w:hint="eastAsia" w:ascii="方正仿宋简体" w:hAnsi="方正仿宋简体" w:eastAsia="方正仿宋简体" w:cs="方正仿宋简体"/>
          <w:color w:val="000000" w:themeColor="text1"/>
        </w:rPr>
        <w:t>（五）加强固体废物的分类管理和利用。运行过程所产生废催化剂及检修过程中产生的废机油分别暂存在厂内事故浆液罐北侧设置的危险废物暂存间内，废催化剂定期交由催化剂厂家回收处理，废机油交由有资质单位回收；脱硫石膏回收综合利用。</w:t>
      </w:r>
      <w:r>
        <w:rPr>
          <w:rFonts w:hint="eastAsia" w:ascii="方正仿宋简体" w:hAnsi="方正仿宋简体" w:eastAsia="方正仿宋简体" w:cs="方正仿宋简体"/>
          <w:sz w:val="32"/>
          <w:szCs w:val="32"/>
          <w:lang w:val="en-US" w:eastAsia="zh-CN"/>
        </w:rPr>
        <w:t>危险废物收集、贮存、运输须满足《</w:t>
      </w:r>
      <w:r>
        <w:rPr>
          <w:rFonts w:hint="eastAsia" w:ascii="方正仿宋简体" w:hAnsi="方正仿宋简体" w:eastAsia="方正仿宋简体" w:cs="方正仿宋简体"/>
          <w:sz w:val="32"/>
          <w:szCs w:val="32"/>
          <w:lang w:eastAsia="zh-CN"/>
        </w:rPr>
        <w:t>危险废物贮存污染控制标准》（</w:t>
      </w:r>
      <w:r>
        <w:rPr>
          <w:rFonts w:hint="eastAsia" w:ascii="方正仿宋简体" w:hAnsi="方正仿宋简体" w:eastAsia="方正仿宋简体" w:cs="方正仿宋简体"/>
          <w:sz w:val="32"/>
          <w:szCs w:val="32"/>
          <w:lang w:val="en-US" w:eastAsia="zh-CN"/>
        </w:rPr>
        <w:t>GB18597-2001</w:t>
      </w:r>
      <w:r>
        <w:rPr>
          <w:rFonts w:hint="eastAsia" w:ascii="方正仿宋简体" w:hAnsi="方正仿宋简体" w:eastAsia="方正仿宋简体" w:cs="方正仿宋简体"/>
          <w:sz w:val="32"/>
          <w:szCs w:val="32"/>
          <w:lang w:eastAsia="zh-CN"/>
        </w:rPr>
        <w:t>）及其修改单要求、《危险废物收集、贮存、运输技术规范》（</w:t>
      </w:r>
      <w:r>
        <w:rPr>
          <w:rFonts w:hint="eastAsia" w:ascii="方正仿宋简体" w:hAnsi="方正仿宋简体" w:eastAsia="方正仿宋简体" w:cs="方正仿宋简体"/>
          <w:sz w:val="32"/>
          <w:szCs w:val="32"/>
          <w:lang w:val="en-US" w:eastAsia="zh-CN"/>
        </w:rPr>
        <w:t>HJ2025-2012</w:t>
      </w:r>
      <w:r>
        <w:rPr>
          <w:rFonts w:hint="eastAsia" w:ascii="方正仿宋简体" w:hAnsi="方正仿宋简体" w:eastAsia="方正仿宋简体" w:cs="方正仿宋简体"/>
          <w:sz w:val="32"/>
          <w:szCs w:val="32"/>
          <w:lang w:eastAsia="zh-CN"/>
        </w:rPr>
        <w:t>）及《危险废物转移联单管理办法》</w:t>
      </w:r>
      <w:r>
        <w:rPr>
          <w:rFonts w:hint="eastAsia" w:ascii="方正仿宋简体" w:hAnsi="方正仿宋简体" w:eastAsia="方正仿宋简体" w:cs="方正仿宋简体"/>
          <w:sz w:val="32"/>
          <w:szCs w:val="32"/>
        </w:rPr>
        <w:t>。</w:t>
      </w:r>
    </w:p>
    <w:p>
      <w:pPr>
        <w:keepNext w:val="0"/>
        <w:keepLines w:val="0"/>
        <w:pageBreakBefore w:val="0"/>
        <w:kinsoku/>
        <w:wordWrap/>
        <w:overflowPunct/>
        <w:topLinePunct/>
        <w:autoSpaceDE/>
        <w:autoSpaceDN/>
        <w:bidi w:val="0"/>
        <w:adjustRightInd/>
        <w:snapToGrid/>
        <w:spacing w:line="560" w:lineRule="exact"/>
        <w:ind w:firstLine="800" w:firstLineChars="250"/>
        <w:jc w:val="both"/>
        <w:textAlignment w:val="auto"/>
        <w:outlineLvl w:val="2"/>
        <w:rPr>
          <w:rFonts w:ascii="方正仿宋简体" w:hAnsi="方正仿宋简体" w:eastAsia="方正仿宋简体" w:cs="方正仿宋简体"/>
          <w:color w:val="FF0000"/>
          <w:sz w:val="32"/>
          <w:szCs w:val="32"/>
        </w:rPr>
      </w:pPr>
      <w:r>
        <w:rPr>
          <w:rFonts w:hint="eastAsia" w:ascii="方正仿宋简体" w:hAnsi="方正仿宋简体" w:eastAsia="方正仿宋简体" w:cs="方正仿宋简体"/>
          <w:color w:val="000000" w:themeColor="text1"/>
          <w:sz w:val="32"/>
          <w:szCs w:val="32"/>
        </w:rPr>
        <w:t>（六）加强环境风险防范工作，制定环境突发事故应急预案，确保预案的可操作性和有效性。在煤气管道、锅炉等产生煤气可能发生泄漏的生产场所或管网设立自动监测、报警、紧急切断及紧急停车系统；锅炉入口处设置阻火器；煤气管道设置高低压力连锁的快关阀，当煤气管道压力过高或过低时，自动切断煤气；同时设置气动快关阀、水封装置、泄爆阀以及每期吹扫装置；锅炉设置为负压运行。在装置敏感部位设置CO连续监测仪器及监控报警装置，及时发现事故隐患，防止事故的发生。厂区进出口、危险废物暂存间等关键部位均设置视频监控设施，作为厂区日常监管手段，要求最少储存1个月以上视频资料。厂内定期开展环境风险应急培训和演练，落实各项应急环境管理措施以及各项风险防范措施，确保风险事故得到有效控制。制定突发环境事件应急预案，确保预案的可操作性和有效性，报十三师生态环境局备案。</w:t>
      </w:r>
    </w:p>
    <w:p>
      <w:pPr>
        <w:keepNext w:val="0"/>
        <w:keepLines w:val="0"/>
        <w:pageBreakBefore w:val="0"/>
        <w:kinsoku/>
        <w:wordWrap/>
        <w:overflowPunct/>
        <w:autoSpaceDE/>
        <w:autoSpaceDN/>
        <w:bidi w:val="0"/>
        <w:adjustRightInd/>
        <w:snapToGrid/>
        <w:spacing w:line="560" w:lineRule="exact"/>
        <w:ind w:firstLine="640" w:firstLineChars="200"/>
        <w:jc w:val="both"/>
        <w:textAlignment w:val="auto"/>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四、项目建设必须严格执行</w:t>
      </w:r>
      <w:r>
        <w:rPr>
          <w:rFonts w:hint="eastAsia" w:ascii="方正仿宋简体" w:hAnsi="方正仿宋简体" w:eastAsia="方正仿宋简体" w:cs="方正仿宋简体"/>
          <w:color w:val="000000" w:themeColor="text1"/>
          <w:sz w:val="32"/>
          <w:szCs w:val="32"/>
          <w:lang w:val="en-US" w:eastAsia="zh-CN"/>
        </w:rPr>
        <w:t>配套的环境保护设施与主体工程</w:t>
      </w:r>
      <w:r>
        <w:rPr>
          <w:rFonts w:hint="eastAsia" w:ascii="方正仿宋简体" w:hAnsi="方正仿宋简体" w:eastAsia="方正仿宋简体" w:cs="方正仿宋简体"/>
          <w:color w:val="000000" w:themeColor="text1"/>
          <w:sz w:val="32"/>
          <w:szCs w:val="32"/>
        </w:rPr>
        <w:t>同时设计、同时施工、同时投产</w:t>
      </w:r>
      <w:r>
        <w:rPr>
          <w:rFonts w:hint="eastAsia" w:ascii="方正仿宋简体" w:hAnsi="方正仿宋简体" w:eastAsia="方正仿宋简体" w:cs="方正仿宋简体"/>
          <w:color w:val="000000" w:themeColor="text1"/>
          <w:sz w:val="32"/>
          <w:szCs w:val="32"/>
          <w:lang w:val="en-US" w:eastAsia="zh-CN"/>
        </w:rPr>
        <w:t>使用</w:t>
      </w:r>
      <w:r>
        <w:rPr>
          <w:rFonts w:hint="eastAsia" w:ascii="方正仿宋简体" w:hAnsi="方正仿宋简体" w:eastAsia="方正仿宋简体" w:cs="方正仿宋简体"/>
          <w:color w:val="000000" w:themeColor="text1"/>
          <w:sz w:val="32"/>
          <w:szCs w:val="32"/>
        </w:rPr>
        <w:t>的环境保护“三同时”制度。</w:t>
      </w:r>
      <w:r>
        <w:rPr>
          <w:rFonts w:hint="eastAsia" w:ascii="方正仿宋简体" w:hAnsi="方正仿宋简体" w:eastAsia="方正仿宋简体" w:cs="方正仿宋简体"/>
          <w:color w:val="000000" w:themeColor="text1"/>
          <w:sz w:val="32"/>
          <w:szCs w:val="32"/>
          <w:lang w:val="en-US" w:eastAsia="zh-CN"/>
        </w:rPr>
        <w:t>施工招标文件和施工合同招标文件中应明确环保条款和责任，项目竣工后，须按规定程序实施</w:t>
      </w:r>
      <w:r>
        <w:rPr>
          <w:rFonts w:hint="eastAsia" w:ascii="方正仿宋简体" w:hAnsi="方正仿宋简体" w:eastAsia="方正仿宋简体" w:cs="方正仿宋简体"/>
          <w:color w:val="000000" w:themeColor="text1"/>
          <w:sz w:val="32"/>
          <w:szCs w:val="32"/>
        </w:rPr>
        <w:t>竣工环境保护验收。</w:t>
      </w:r>
    </w:p>
    <w:p>
      <w:pPr>
        <w:pStyle w:val="7"/>
        <w:keepNext w:val="0"/>
        <w:keepLines w:val="0"/>
        <w:pageBreakBefore w:val="0"/>
        <w:kinsoku/>
        <w:wordWrap/>
        <w:overflowPunct/>
        <w:autoSpaceDE/>
        <w:autoSpaceDN/>
        <w:bidi w:val="0"/>
        <w:adjustRightInd/>
        <w:snapToGrid/>
        <w:spacing w:before="0" w:beforeAutospacing="0" w:after="0" w:afterAutospacing="0" w:line="560" w:lineRule="exact"/>
        <w:ind w:firstLine="640" w:firstLineChars="200"/>
        <w:jc w:val="both"/>
        <w:textAlignment w:val="auto"/>
        <w:rPr>
          <w:rFonts w:hint="eastAsia" w:ascii="方正仿宋简体" w:hAnsi="方正仿宋简体" w:eastAsia="方正仿宋简体" w:cs="方正仿宋简体"/>
          <w:color w:val="000000" w:themeColor="text1"/>
          <w:sz w:val="32"/>
          <w:szCs w:val="32"/>
          <w:lang w:val="en-US" w:eastAsia="zh-CN"/>
        </w:rPr>
      </w:pPr>
      <w:r>
        <w:rPr>
          <w:rFonts w:hint="eastAsia" w:ascii="方正仿宋简体" w:hAnsi="方正仿宋简体" w:eastAsia="方正仿宋简体" w:cs="方正仿宋简体"/>
          <w:color w:val="000000" w:themeColor="text1"/>
          <w:sz w:val="32"/>
          <w:szCs w:val="32"/>
          <w:lang w:val="en-US" w:eastAsia="zh-CN"/>
        </w:rPr>
        <w:t>环境影响报告表经批准后</w:t>
      </w:r>
      <w:r>
        <w:rPr>
          <w:rFonts w:hint="eastAsia" w:ascii="方正仿宋简体" w:hAnsi="方正仿宋简体" w:eastAsia="方正仿宋简体" w:cs="方正仿宋简体"/>
          <w:color w:val="000000" w:themeColor="text1"/>
          <w:sz w:val="32"/>
          <w:szCs w:val="32"/>
        </w:rPr>
        <w:t>，</w:t>
      </w:r>
      <w:r>
        <w:rPr>
          <w:rFonts w:hint="eastAsia" w:ascii="方正仿宋简体" w:hAnsi="方正仿宋简体" w:eastAsia="方正仿宋简体" w:cs="方正仿宋简体"/>
          <w:color w:val="000000" w:themeColor="text1"/>
          <w:sz w:val="32"/>
          <w:szCs w:val="32"/>
          <w:lang w:val="en-US" w:eastAsia="zh-CN"/>
        </w:rPr>
        <w:t>该项目的</w:t>
      </w:r>
      <w:r>
        <w:rPr>
          <w:rFonts w:hint="eastAsia" w:ascii="方正仿宋简体" w:hAnsi="方正仿宋简体" w:eastAsia="方正仿宋简体" w:cs="方正仿宋简体"/>
          <w:color w:val="000000" w:themeColor="text1"/>
          <w:sz w:val="32"/>
          <w:szCs w:val="32"/>
        </w:rPr>
        <w:t>性质、规模、地点、</w:t>
      </w:r>
      <w:r>
        <w:rPr>
          <w:rFonts w:hint="eastAsia" w:ascii="方正仿宋简体" w:hAnsi="方正仿宋简体" w:eastAsia="方正仿宋简体" w:cs="方正仿宋简体"/>
          <w:color w:val="000000" w:themeColor="text1"/>
          <w:sz w:val="32"/>
          <w:szCs w:val="32"/>
          <w:lang w:val="en-US" w:eastAsia="zh-CN"/>
        </w:rPr>
        <w:t>生产工艺和环境保护措施</w:t>
      </w:r>
      <w:r>
        <w:rPr>
          <w:rFonts w:hint="eastAsia" w:ascii="方正仿宋简体" w:hAnsi="方正仿宋简体" w:eastAsia="方正仿宋简体" w:cs="方正仿宋简体"/>
          <w:color w:val="000000" w:themeColor="text1"/>
          <w:sz w:val="32"/>
          <w:szCs w:val="32"/>
        </w:rPr>
        <w:t>发生重大</w:t>
      </w:r>
      <w:r>
        <w:rPr>
          <w:rFonts w:hint="eastAsia" w:ascii="方正仿宋简体" w:hAnsi="方正仿宋简体" w:eastAsia="方正仿宋简体" w:cs="方正仿宋简体"/>
          <w:color w:val="000000" w:themeColor="text1"/>
          <w:sz w:val="32"/>
          <w:szCs w:val="32"/>
          <w:lang w:val="en-US" w:eastAsia="zh-CN"/>
        </w:rPr>
        <w:t>变动</w:t>
      </w:r>
      <w:r>
        <w:rPr>
          <w:rFonts w:hint="eastAsia" w:ascii="方正仿宋简体" w:hAnsi="方正仿宋简体" w:eastAsia="方正仿宋简体" w:cs="方正仿宋简体"/>
          <w:color w:val="000000" w:themeColor="text1"/>
          <w:sz w:val="32"/>
          <w:szCs w:val="32"/>
        </w:rPr>
        <w:t>，</w:t>
      </w:r>
      <w:r>
        <w:rPr>
          <w:rFonts w:hint="eastAsia" w:ascii="方正仿宋简体" w:hAnsi="方正仿宋简体" w:eastAsia="方正仿宋简体" w:cs="方正仿宋简体"/>
          <w:color w:val="000000" w:themeColor="text1"/>
          <w:sz w:val="32"/>
          <w:szCs w:val="32"/>
          <w:lang w:val="en-US" w:eastAsia="zh-CN"/>
        </w:rPr>
        <w:t>且可能导致环境影响显著变化（特别是不利环境影响加重）的，</w:t>
      </w:r>
      <w:r>
        <w:rPr>
          <w:rFonts w:hint="eastAsia" w:ascii="方正仿宋简体" w:hAnsi="方正仿宋简体" w:eastAsia="方正仿宋简体" w:cs="方正仿宋简体"/>
          <w:color w:val="000000" w:themeColor="text1"/>
          <w:sz w:val="32"/>
          <w:szCs w:val="32"/>
        </w:rPr>
        <w:t>应</w:t>
      </w:r>
      <w:r>
        <w:rPr>
          <w:rFonts w:hint="eastAsia" w:ascii="方正仿宋简体" w:hAnsi="方正仿宋简体" w:eastAsia="方正仿宋简体" w:cs="方正仿宋简体"/>
          <w:color w:val="000000" w:themeColor="text1"/>
          <w:sz w:val="32"/>
          <w:szCs w:val="32"/>
          <w:lang w:val="en-US" w:eastAsia="zh-CN"/>
        </w:rPr>
        <w:t>当重新报批该项目环境影响报告表。</w:t>
      </w:r>
    </w:p>
    <w:p>
      <w:pPr>
        <w:keepNext w:val="0"/>
        <w:keepLines w:val="0"/>
        <w:pageBreakBefore w:val="0"/>
        <w:kinsoku/>
        <w:wordWrap/>
        <w:overflowPunct/>
        <w:autoSpaceDE/>
        <w:autoSpaceDN/>
        <w:bidi w:val="0"/>
        <w:adjustRightInd/>
        <w:snapToGrid/>
        <w:spacing w:line="560" w:lineRule="exact"/>
        <w:ind w:firstLine="640" w:firstLineChars="200"/>
        <w:jc w:val="both"/>
        <w:textAlignment w:val="auto"/>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lang w:val="en-US" w:eastAsia="zh-CN"/>
        </w:rPr>
        <w:t>五</w:t>
      </w:r>
      <w:r>
        <w:rPr>
          <w:rFonts w:hint="eastAsia" w:ascii="方正仿宋简体" w:hAnsi="方正仿宋简体" w:eastAsia="方正仿宋简体" w:cs="方正仿宋简体"/>
          <w:color w:val="000000" w:themeColor="text1"/>
          <w:sz w:val="32"/>
          <w:szCs w:val="32"/>
        </w:rPr>
        <w:t>、我局委托十三师生态环境保护综合行政执法支队组织开展该项目的“三同时”监督检查和日常监督管理工作。</w:t>
      </w:r>
    </w:p>
    <w:p>
      <w:pPr>
        <w:keepNext w:val="0"/>
        <w:keepLines w:val="0"/>
        <w:pageBreakBefore w:val="0"/>
        <w:kinsoku/>
        <w:overflowPunct/>
        <w:autoSpaceDE/>
        <w:autoSpaceDN/>
        <w:bidi w:val="0"/>
        <w:adjustRightInd/>
        <w:snapToGrid/>
        <w:spacing w:line="560" w:lineRule="exact"/>
        <w:ind w:firstLine="640" w:firstLineChars="200"/>
        <w:jc w:val="left"/>
        <w:textAlignment w:val="auto"/>
        <w:rPr>
          <w:rFonts w:ascii="方正仿宋简体" w:hAnsi="方正仿宋简体" w:eastAsia="方正仿宋简体" w:cs="方正仿宋简体"/>
          <w:color w:val="FF0000"/>
          <w:sz w:val="32"/>
          <w:szCs w:val="32"/>
        </w:rPr>
      </w:pPr>
    </w:p>
    <w:p>
      <w:pPr>
        <w:pStyle w:val="2"/>
        <w:keepNext w:val="0"/>
        <w:keepLines w:val="0"/>
        <w:pageBreakBefore w:val="0"/>
        <w:kinsoku/>
        <w:overflowPunct/>
        <w:autoSpaceDE/>
        <w:autoSpaceDN/>
        <w:bidi w:val="0"/>
        <w:adjustRightInd/>
        <w:snapToGrid/>
        <w:spacing w:line="560" w:lineRule="exact"/>
        <w:textAlignment w:val="auto"/>
      </w:pPr>
    </w:p>
    <w:p>
      <w:pPr>
        <w:keepNext w:val="0"/>
        <w:keepLines w:val="0"/>
        <w:pageBreakBefore w:val="0"/>
        <w:kinsoku/>
        <w:wordWrap w:val="0"/>
        <w:overflowPunct/>
        <w:autoSpaceDE/>
        <w:autoSpaceDN/>
        <w:bidi w:val="0"/>
        <w:adjustRightInd/>
        <w:snapToGrid/>
        <w:spacing w:line="560" w:lineRule="exact"/>
        <w:ind w:firstLine="640" w:firstLineChars="200"/>
        <w:jc w:val="right"/>
        <w:textAlignment w:val="auto"/>
        <w:rPr>
          <w:rFonts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xml:space="preserve">十三师生态环境局       </w:t>
      </w:r>
    </w:p>
    <w:p>
      <w:pPr>
        <w:keepNext w:val="0"/>
        <w:keepLines w:val="0"/>
        <w:pageBreakBefore w:val="0"/>
        <w:kinsoku/>
        <w:wordWrap w:val="0"/>
        <w:overflowPunct/>
        <w:autoSpaceDE/>
        <w:autoSpaceDN/>
        <w:bidi w:val="0"/>
        <w:adjustRightInd/>
        <w:snapToGrid/>
        <w:spacing w:line="560" w:lineRule="exact"/>
        <w:ind w:firstLine="640" w:firstLineChars="200"/>
        <w:jc w:val="center"/>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color w:val="auto"/>
          <w:sz w:val="32"/>
          <w:szCs w:val="32"/>
        </w:rPr>
        <w:t xml:space="preserve"> 2020年1</w:t>
      </w: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rPr>
        <w:t>月</w:t>
      </w:r>
      <w:r>
        <w:rPr>
          <w:rFonts w:hint="eastAsia" w:ascii="方正仿宋简体" w:hAnsi="方正仿宋简体" w:eastAsia="方正仿宋简体" w:cs="方正仿宋简体"/>
          <w:color w:val="auto"/>
          <w:sz w:val="32"/>
          <w:szCs w:val="32"/>
          <w:lang w:val="en-US" w:eastAsia="zh-CN"/>
        </w:rPr>
        <w:t>10</w:t>
      </w:r>
      <w:r>
        <w:rPr>
          <w:rFonts w:hint="eastAsia" w:ascii="方正仿宋简体" w:hAnsi="方正仿宋简体" w:eastAsia="方正仿宋简体" w:cs="方正仿宋简体"/>
          <w:color w:val="auto"/>
          <w:sz w:val="32"/>
          <w:szCs w:val="32"/>
        </w:rPr>
        <w:t xml:space="preserve">日  </w:t>
      </w: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pStyle w:val="2"/>
        <w:rPr>
          <w:rFonts w:hint="eastAsia" w:ascii="方正仿宋简体" w:hAnsi="方正仿宋简体" w:eastAsia="方正仿宋简体" w:cs="方正仿宋简体"/>
          <w:color w:val="auto"/>
          <w:sz w:val="32"/>
          <w:szCs w:val="32"/>
        </w:rPr>
      </w:pPr>
    </w:p>
    <w:p>
      <w:pPr>
        <w:keepNext w:val="0"/>
        <w:keepLines w:val="0"/>
        <w:pageBreakBefore w:val="0"/>
        <w:kinsoku/>
        <w:wordWrap w:val="0"/>
        <w:overflowPunct/>
        <w:autoSpaceDE/>
        <w:autoSpaceDN/>
        <w:bidi w:val="0"/>
        <w:adjustRightInd/>
        <w:spacing w:line="560" w:lineRule="exact"/>
        <w:ind w:firstLine="640" w:firstLineChars="200"/>
        <w:jc w:val="right"/>
        <w:textAlignment w:val="auto"/>
        <w:rPr>
          <w:rFonts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xml:space="preserve">     </w:t>
      </w:r>
    </w:p>
    <w:p>
      <w:pPr>
        <w:spacing w:line="520" w:lineRule="exact"/>
        <w:rPr>
          <w:rFonts w:eastAsia="方正仿宋简体"/>
          <w:color w:val="auto"/>
        </w:rPr>
      </w:pPr>
      <w:r>
        <w:rPr>
          <w:rFonts w:ascii="方正仿宋简体" w:hAnsi="方正仿宋简体" w:eastAsia="方正仿宋简体" w:cs="方正仿宋简体"/>
          <w:color w:val="auto"/>
          <w:sz w:val="32"/>
          <w:szCs w:val="32"/>
        </w:rPr>
        <w:pict>
          <v:line id="_x0000_s1026" o:spid="_x0000_s1026" o:spt="20" style="position:absolute;left:0pt;margin-left:-5.3pt;margin-top:31.4pt;height:0pt;width:450pt;z-index:251657216;mso-width-relative:page;mso-height-relative:page;" coordsize="21600,21600" o:gfxdata="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BC3/dYAAAAJAQAADwAA&#10;AAAAAAABACAAAAAiAAAAZHJzL2Rvd25yZXYueG1sUEsBAhQAFAAAAAgAh07iQN+oExLfAQAApAMA&#10;AA4AAAAAAAAAAQAgAAAAJQEAAGRycy9lMm9Eb2MueG1sUEsFBgAAAAAGAAYAWQEAAHYFAAAAAA==&#10;">
            <v:path arrowok="t"/>
            <v:fill focussize="0,0"/>
            <v:stroke/>
            <v:imagedata o:title=""/>
            <o:lock v:ext="edit"/>
          </v:line>
        </w:pict>
      </w:r>
      <w:r>
        <w:rPr>
          <w:rFonts w:ascii="方正仿宋简体" w:hAnsi="方正仿宋简体" w:eastAsia="方正仿宋简体" w:cs="方正仿宋简体"/>
          <w:b/>
          <w:color w:val="auto"/>
          <w:kern w:val="0"/>
          <w:sz w:val="32"/>
          <w:szCs w:val="32"/>
        </w:rPr>
        <w:pict>
          <v:line id="_x0000_s1027" o:spid="_x0000_s1027" o:spt="20" style="position:absolute;left:0pt;margin-left:-5.75pt;margin-top:2.05pt;height:0pt;width:450pt;z-index:251658240;mso-width-relative:page;mso-height-relative:page;" coordsize="21600,21600" o:gfxdata="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9D7z9QAAAAHAQAADwAAAAAA&#10;AAABACAAAAAiAAAAZHJzL2Rvd25yZXYueG1sUEsBAhQAFAAAAAgAh07iQHIAlvbeAQAApQMAAA4A&#10;AAAAAAAAAQAgAAAAIwEAAGRycy9lMm9Eb2MueG1sUEsFBgAAAAAGAAYAWQEAAHMFAAAAAA==&#10;">
            <v:path arrowok="t"/>
            <v:fill focussize="0,0"/>
            <v:stroke weight="1pt"/>
            <v:imagedata o:title=""/>
            <o:lock v:ext="edit"/>
          </v:line>
        </w:pict>
      </w:r>
      <w:r>
        <w:rPr>
          <w:rFonts w:hint="eastAsia" w:ascii="方正仿宋简体" w:hAnsi="方正仿宋简体" w:eastAsia="方正仿宋简体" w:cs="方正仿宋简体"/>
          <w:color w:val="auto"/>
          <w:sz w:val="32"/>
          <w:szCs w:val="32"/>
        </w:rPr>
        <w:t>十三师生态环境局                 2020年1</w:t>
      </w: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rPr>
        <w:t>月</w:t>
      </w:r>
      <w:r>
        <w:rPr>
          <w:rFonts w:hint="eastAsia" w:ascii="方正仿宋简体" w:hAnsi="方正仿宋简体" w:eastAsia="方正仿宋简体" w:cs="方正仿宋简体"/>
          <w:color w:val="auto"/>
          <w:sz w:val="32"/>
          <w:szCs w:val="32"/>
          <w:lang w:val="en-US" w:eastAsia="zh-CN"/>
        </w:rPr>
        <w:t>11</w:t>
      </w:r>
      <w:r>
        <w:rPr>
          <w:rFonts w:hint="eastAsia" w:ascii="方正仿宋简体" w:hAnsi="方正仿宋简体" w:eastAsia="方正仿宋简体" w:cs="方正仿宋简体"/>
          <w:color w:val="auto"/>
          <w:sz w:val="32"/>
          <w:szCs w:val="32"/>
        </w:rPr>
        <w:t>日印发</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p>
    <w:pPr>
      <w:pStyle w:val="5"/>
    </w:pPr>
  </w:p>
  <w:p>
    <w:pPr>
      <w:pStyle w:val="5"/>
    </w:pPr>
    <w:r>
      <w:pict>
        <v:shape id="_x0000_s2049" o:spid="_x0000_s2049" o:spt="202" type="#_x0000_t202" style="position:absolute;left:0pt;margin-top:-6.75pt;height:22.25pt;width:144pt;mso-position-horizontal:outside;mso-position-horizontal-relative:margin;mso-wrap-style:none;z-index:251658240;mso-width-relative:page;mso-height-relative:page;" filled="f" stroked="f" coordsize="21600,21600" o:gfxdata="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5s+SV1wAAAAcBAAAPAAAA&#10;AAAAAAEAIAAAACIAAABkcnMvZG93bnJldi54bWxQSwECFAAUAAAACACHTuJAmLRMGBYCAAASBAAA&#10;DgAAAAAAAAABACAAAAAmAQAAZHJzL2Uyb0RvYy54bWxQSwUGAAAAAAYABgBZAQAArgUAAAAA&#10;">
          <v:path/>
          <v:fill on="f" focussize="0,0"/>
          <v:stroke on="f" weight="0.5pt" joinstyle="miter"/>
          <v:imagedata o:title=""/>
          <o:lock v:ext="edit"/>
          <v:textbox inset="0mm,0mm,0mm,0mm">
            <w:txbxContent>
              <w:p>
                <w:pPr>
                  <w:pStyle w:val="5"/>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ascii="方正仿宋简体" w:hAnsi="方正仿宋简体" w:eastAsia="方正仿宋简体" w:cs="方正仿宋简体"/>
                    <w:sz w:val="28"/>
                    <w:szCs w:val="28"/>
                  </w:rPr>
                  <w:t>- 1 -</w:t>
                </w:r>
                <w:r>
                  <w:rPr>
                    <w:rFonts w:hint="eastAsia" w:ascii="方正仿宋简体" w:hAnsi="方正仿宋简体" w:eastAsia="方正仿宋简体" w:cs="方正仿宋简体"/>
                    <w:sz w:val="28"/>
                    <w:szCs w:val="28"/>
                  </w:rPr>
                  <w:fldChar w:fldCharType="end"/>
                </w:r>
              </w:p>
              <w:p>
                <w:pPr>
                  <w:pStyle w:val="5"/>
                  <w:rPr>
                    <w:rFonts w:ascii="方正仿宋简体" w:hAnsi="方正仿宋简体" w:eastAsia="方正仿宋简体" w:cs="方正仿宋简体"/>
                    <w:sz w:val="28"/>
                    <w:szCs w:val="44"/>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90A55"/>
    <w:multiLevelType w:val="multilevel"/>
    <w:tmpl w:val="24690A55"/>
    <w:lvl w:ilvl="0" w:tentative="0">
      <w:start w:val="1"/>
      <w:numFmt w:val="upperRoman"/>
      <w:lvlText w:val="%1."/>
      <w:lvlJc w:val="left"/>
      <w:pPr>
        <w:tabs>
          <w:tab w:val="left" w:pos="425"/>
        </w:tabs>
        <w:ind w:left="0" w:firstLine="0"/>
      </w:pPr>
    </w:lvl>
    <w:lvl w:ilvl="1" w:tentative="0">
      <w:start w:val="1"/>
      <w:numFmt w:val="upperLetter"/>
      <w:pStyle w:val="3"/>
      <w:lvlText w:val="%2."/>
      <w:lvlJc w:val="left"/>
      <w:pPr>
        <w:tabs>
          <w:tab w:val="left" w:pos="1276"/>
        </w:tabs>
        <w:ind w:left="851" w:firstLine="0"/>
      </w:pPr>
    </w:lvl>
    <w:lvl w:ilvl="2" w:tentative="0">
      <w:start w:val="1"/>
      <w:numFmt w:val="decimal"/>
      <w:lvlText w:val="%3."/>
      <w:lvlJc w:val="left"/>
      <w:pPr>
        <w:tabs>
          <w:tab w:val="left" w:pos="2126"/>
        </w:tabs>
        <w:ind w:left="1701" w:firstLine="0"/>
      </w:pPr>
    </w:lvl>
    <w:lvl w:ilvl="3" w:tentative="0">
      <w:start w:val="1"/>
      <w:numFmt w:val="lowerLetter"/>
      <w:lvlText w:val="%4)"/>
      <w:lvlJc w:val="left"/>
      <w:pPr>
        <w:tabs>
          <w:tab w:val="left" w:pos="2976"/>
        </w:tabs>
        <w:ind w:left="2551" w:firstLine="0"/>
      </w:pPr>
    </w:lvl>
    <w:lvl w:ilvl="4" w:tentative="0">
      <w:start w:val="1"/>
      <w:numFmt w:val="decimal"/>
      <w:lvlText w:val="(%5)"/>
      <w:lvlJc w:val="left"/>
      <w:pPr>
        <w:tabs>
          <w:tab w:val="left" w:pos="3827"/>
        </w:tabs>
        <w:ind w:left="3402" w:firstLine="0"/>
      </w:pPr>
    </w:lvl>
    <w:lvl w:ilvl="5" w:tentative="0">
      <w:start w:val="1"/>
      <w:numFmt w:val="lowerLetter"/>
      <w:lvlText w:val="(%6)"/>
      <w:lvlJc w:val="left"/>
      <w:pPr>
        <w:tabs>
          <w:tab w:val="left" w:pos="4677"/>
        </w:tabs>
        <w:ind w:left="4252" w:firstLine="0"/>
      </w:p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9BC62BD"/>
    <w:rsid w:val="00123A12"/>
    <w:rsid w:val="0029770C"/>
    <w:rsid w:val="00BC63A2"/>
    <w:rsid w:val="00D969D9"/>
    <w:rsid w:val="00DF0734"/>
    <w:rsid w:val="00DF6990"/>
    <w:rsid w:val="00EF0FD3"/>
    <w:rsid w:val="08733FE2"/>
    <w:rsid w:val="09FA070F"/>
    <w:rsid w:val="0A9C3830"/>
    <w:rsid w:val="0C7C03EE"/>
    <w:rsid w:val="12BF6D3F"/>
    <w:rsid w:val="199329B2"/>
    <w:rsid w:val="19F43DC2"/>
    <w:rsid w:val="1B4A6522"/>
    <w:rsid w:val="1C265042"/>
    <w:rsid w:val="1C6E1667"/>
    <w:rsid w:val="1E055FA6"/>
    <w:rsid w:val="1F644E28"/>
    <w:rsid w:val="27321288"/>
    <w:rsid w:val="274F57BA"/>
    <w:rsid w:val="2C2C196C"/>
    <w:rsid w:val="32A16E82"/>
    <w:rsid w:val="358646BB"/>
    <w:rsid w:val="39065707"/>
    <w:rsid w:val="3C5C5DDB"/>
    <w:rsid w:val="414A18DC"/>
    <w:rsid w:val="41F02D0D"/>
    <w:rsid w:val="44CE3F8D"/>
    <w:rsid w:val="469249BD"/>
    <w:rsid w:val="47A85C91"/>
    <w:rsid w:val="4D864F75"/>
    <w:rsid w:val="564A6169"/>
    <w:rsid w:val="58106087"/>
    <w:rsid w:val="5A5654C5"/>
    <w:rsid w:val="5C631DB8"/>
    <w:rsid w:val="5EF53862"/>
    <w:rsid w:val="69B82BEB"/>
    <w:rsid w:val="79BC62BD"/>
    <w:rsid w:val="7B7C6B6D"/>
    <w:rsid w:val="7C0E6D3E"/>
    <w:rsid w:val="7E436082"/>
    <w:rsid w:val="7F2C5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adjustRightInd w:val="0"/>
      <w:spacing w:before="100" w:after="100" w:line="360" w:lineRule="auto"/>
      <w:jc w:val="left"/>
      <w:textAlignment w:val="baseline"/>
      <w:outlineLvl w:val="1"/>
    </w:pPr>
    <w:rPr>
      <w:rFonts w:ascii="Arial" w:hAnsi="Arial" w:eastAsia="黑体"/>
      <w:b/>
      <w:sz w:val="28"/>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内"/>
    <w:basedOn w:val="1"/>
    <w:qFormat/>
    <w:uiPriority w:val="0"/>
    <w:pPr>
      <w:adjustRightInd w:val="0"/>
      <w:snapToGrid w:val="0"/>
      <w:spacing w:line="360" w:lineRule="exact"/>
      <w:jc w:val="center"/>
    </w:pPr>
    <w:rPr>
      <w:rFonts w:ascii="Times New Roman" w:hAnsi="Times New Roman"/>
      <w:snapToGrid w:val="0"/>
      <w:kern w:val="0"/>
    </w:rPr>
  </w:style>
  <w:style w:type="paragraph" w:styleId="4">
    <w:name w:val="Document Map"/>
    <w:basedOn w:val="1"/>
    <w:link w:val="11"/>
    <w:qFormat/>
    <w:uiPriority w:val="0"/>
    <w:rPr>
      <w:rFonts w:ascii="宋体" w:eastAsia="宋体"/>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报告"/>
    <w:basedOn w:val="1"/>
    <w:qFormat/>
    <w:uiPriority w:val="0"/>
    <w:pPr>
      <w:spacing w:line="360" w:lineRule="auto"/>
      <w:ind w:firstLine="560" w:firstLineChars="200"/>
    </w:pPr>
    <w:rPr>
      <w:sz w:val="28"/>
    </w:rPr>
  </w:style>
  <w:style w:type="character" w:customStyle="1" w:styleId="11">
    <w:name w:val="文档结构图 Char"/>
    <w:basedOn w:val="9"/>
    <w:link w:val="4"/>
    <w:qFormat/>
    <w:uiPriority w:val="0"/>
    <w:rPr>
      <w:rFonts w:ascii="宋体" w:hAnsiTheme="minorHAnsi" w:cstheme="minorBidi"/>
      <w:kern w:val="2"/>
      <w:sz w:val="18"/>
      <w:szCs w:val="18"/>
    </w:rPr>
  </w:style>
  <w:style w:type="paragraph" w:customStyle="1" w:styleId="12">
    <w:name w:val="p0"/>
    <w:basedOn w:val="1"/>
    <w:qFormat/>
    <w:uiPriority w:val="0"/>
    <w:pPr>
      <w:widowControl/>
    </w:pPr>
    <w:rPr>
      <w:rFonts w:ascii="Times New Roman" w:hAnsi="Times New Roman" w:eastAsia="宋体" w:cs="Times New Roman"/>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305</Words>
  <Characters>1742</Characters>
  <Lines>14</Lines>
  <Paragraphs>4</Paragraphs>
  <TotalTime>39</TotalTime>
  <ScaleCrop>false</ScaleCrop>
  <LinksUpToDate>false</LinksUpToDate>
  <CharactersWithSpaces>2043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2020-07-08T03:26:00Z</dcterms:created>
  <dc:creator>高艳荣（信息员）</dc:creator>
  <cp:lastModifiedBy>Cecilia～Xi</cp:lastModifiedBy>
  <cp:lastPrinted>2020-07-22T09:59:00Z</cp:lastPrinted>
  <dcterms:modified xsi:type="dcterms:W3CDTF">2020-11-11T05:25:07Z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