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980" w:type="dxa"/>
        <w:jc w:val="center"/>
        <w:tblInd w:w="-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65"/>
        <w:gridCol w:w="1248"/>
        <w:gridCol w:w="1095"/>
        <w:gridCol w:w="1200"/>
        <w:gridCol w:w="1803"/>
        <w:gridCol w:w="961"/>
        <w:gridCol w:w="3161"/>
        <w:gridCol w:w="3355"/>
        <w:gridCol w:w="1370"/>
        <w:gridCol w:w="1022"/>
      </w:tblGrid>
      <w:tr>
        <w:trPr>
          <w:trHeight w:val="750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15980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</w:rPr>
              <w:t xml:space="preserve">十三师市场监督管理局202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  <w:lang w:val="en-US" w:eastAsia="zh-CN"/>
              </w:rPr>
              <w:t xml:space="preserve">4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</w:rPr>
              <w:t xml:space="preserve">年行政处罚案件信息公开表（第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  <w:lang w:val="en-US" w:eastAsia="zh-CN"/>
              </w:rPr>
              <w:t xml:space="preserve">74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</w:rPr>
              <w:t xml:space="preserve">期）</w:t>
            </w:r>
            <w:r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r>
            <w:r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r>
          </w:p>
        </w:tc>
      </w:tr>
      <w:tr>
        <w:trPr>
          <w:trHeight w:val="148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序号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行政处罚决定书文号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案件名称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违法企业名称或违法自然人姓名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违法企业统一社会信用代码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法定代表人姓名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61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主要违法事实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行政处罚的种类和依据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行政处罚的履行方式和期限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022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做出处罚的机关名称和日期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</w:tr>
      <w:tr>
        <w:trPr>
          <w:trHeight w:val="3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626"/>
              <w:pBdr/>
              <w:spacing/>
              <w:ind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1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pStyle w:val="626"/>
              <w:pBdr/>
              <w:spacing/>
              <w:ind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十三师市监处罚〔2024〕</w:t>
            </w: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 xml:space="preserve">81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号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626"/>
              <w:pBdr/>
              <w:spacing/>
              <w:ind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 xml:space="preserve">哈密柳树泉新建农资店销售不合格肥料、对其商品作虚假或者引人误解的商业宣传案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26"/>
              <w:pBdr/>
              <w:spacing/>
              <w:ind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 xml:space="preserve">哈密柳树泉新建农资店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 xml:space="preserve">92652200MA7A68Q688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eastAsia="zh-CN"/>
              </w:rPr>
              <w:t xml:space="preserve">梁春梅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  <w:highlight w:val="none"/>
                <w:u w:val="none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1" w:type="dxa"/>
            <w:vAlign w:val="center"/>
            <w:textDirection w:val="lrTb"/>
            <w:noWrap w:val="false"/>
          </w:tcPr>
          <w:p>
            <w:pPr>
              <w:pStyle w:val="626"/>
              <w:pBdr/>
              <w:spacing/>
              <w:ind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 xml:space="preserve">当事人</w:t>
            </w: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 xml:space="preserve">销售不合格肥料、对其商品作虚假或者引人误解的商业宣传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罚款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  <w:p>
            <w:pPr>
              <w:pStyle w:val="626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 xml:space="preserve">《中华人民共和国反不正当竞争法》第二十五条、《中华人民共</w:t>
            </w: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 xml:space="preserve">和国产品质量法》第五十条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主动履行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  <w:p>
            <w:pPr>
              <w:pStyle w:val="626"/>
              <w:widowControl w:val="true"/>
              <w:pBdr/>
              <w:spacing/>
              <w:ind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</w:r>
            <w:r>
              <w:rPr>
                <w:rFonts w:hint="eastAsia" w:ascii="仿宋_GB2312" w:eastAsia="仿宋_GB231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Align w:val="center"/>
            <w:textDirection w:val="lrTb"/>
            <w:noWrap w:val="false"/>
          </w:tcPr>
          <w:p>
            <w:pPr>
              <w:pStyle w:val="62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新疆生产建设兵团第十三师市场监督管理局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  <w:p>
            <w:pPr>
              <w:pStyle w:val="626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07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月</w:t>
            </w: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 xml:space="preserve">25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日</w:t>
            </w:r>
            <w:r>
              <w:rPr>
                <w:rFonts w:hint="eastAsia" w:ascii="仿宋_GB2312" w:eastAsia="仿宋_GB2312"/>
                <w:sz w:val="24"/>
              </w:rPr>
            </w:r>
            <w:r>
              <w:rPr>
                <w:rFonts w:hint="eastAsia" w:ascii="仿宋_GB2312" w:eastAsia="仿宋_GB2312"/>
                <w:sz w:val="24"/>
              </w:rPr>
            </w:r>
          </w:p>
        </w:tc>
      </w:tr>
    </w:tbl>
    <w:sectPr>
      <w:headerReference w:type="default" r:id="rId8"/>
      <w:footnotePr/>
      <w:endnotePr/>
      <w:type w:val="nextPage"/>
      <w:pgSz w:h="11906" w:orient="portrait" w:w="16838"/>
      <w:pgMar w:top="1134" w:right="1440" w:bottom="850" w:left="144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简体">
    <w:panose1 w:val="02010601030101010101"/>
  </w:font>
  <w:font w:name="仿宋">
    <w:panose1 w:val="02010609060101010101"/>
  </w:font>
  <w:font w:name="仿宋_GB2312">
    <w:panose1 w:val="02010609030101010101"/>
  </w:font>
  <w:font w:name="方正小标宋简体">
    <w:panose1 w:val="0201060103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  <w:pBdr>
        <w:bottom w:val="none" w:color="000000" w:sz="0" w:space="0"/>
      </w:pBdr>
      <w:tabs>
        <w:tab w:val="center" w:leader="none" w:pos="4153"/>
        <w:tab w:val="right" w:leader="none" w:pos="8306"/>
      </w:tabs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6"/>
    <w:next w:val="62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2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26"/>
    <w:next w:val="62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6"/>
    <w:next w:val="62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6"/>
    <w:next w:val="62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6"/>
    <w:next w:val="62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6"/>
    <w:next w:val="62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6"/>
    <w:next w:val="62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6"/>
    <w:next w:val="62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6"/>
    <w:next w:val="62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6"/>
    <w:next w:val="62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6"/>
    <w:next w:val="626"/>
    <w:uiPriority w:val="99"/>
    <w:unhideWhenUsed/>
    <w:pPr>
      <w:pBdr/>
      <w:spacing w:after="0" w:afterAutospacing="0"/>
      <w:ind/>
    </w:pPr>
  </w:style>
  <w:style w:type="paragraph" w:styleId="626" w:default="1">
    <w:name w:val="Normal"/>
    <w:next w:val="626"/>
    <w:link w:val="62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27">
    <w:name w:val="默认段落字体"/>
    <w:next w:val="627"/>
    <w:link w:val="626"/>
    <w:semiHidden/>
    <w:pPr>
      <w:pBdr/>
      <w:spacing/>
      <w:ind/>
    </w:pPr>
  </w:style>
  <w:style w:type="table" w:styleId="628">
    <w:name w:val="普通表格"/>
    <w:next w:val="628"/>
    <w:link w:val="62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9">
    <w:name w:val="页脚"/>
    <w:basedOn w:val="626"/>
    <w:next w:val="629"/>
    <w:link w:val="626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30">
    <w:name w:val="页眉"/>
    <w:basedOn w:val="626"/>
    <w:next w:val="630"/>
    <w:link w:val="626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31">
    <w:name w:val="普通(网站)"/>
    <w:basedOn w:val="626"/>
    <w:next w:val="631"/>
    <w:link w:val="626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character" w:styleId="899" w:default="1">
    <w:name w:val="Default Paragraph Font"/>
    <w:uiPriority w:val="1"/>
    <w:semiHidden/>
    <w:unhideWhenUsed/>
    <w:pPr>
      <w:pBdr/>
      <w:spacing/>
      <w:ind/>
    </w:pPr>
  </w:style>
  <w:style w:type="numbering" w:styleId="900" w:default="1">
    <w:name w:val="No List"/>
    <w:uiPriority w:val="99"/>
    <w:semiHidden/>
    <w:unhideWhenUsed/>
    <w:pPr>
      <w:pBdr/>
      <w:spacing/>
      <w:ind/>
    </w:pPr>
  </w:style>
  <w:style w:type="table" w:styleId="90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</Company>
  <DocSecurity>0</DocSecurity>
  <Manager/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2</cp:revision>
  <dcterms:created xsi:type="dcterms:W3CDTF">2022-05-19T05:24:00Z</dcterms:created>
  <dcterms:modified xsi:type="dcterms:W3CDTF">2024-07-31T06:32:55Z</dcterms:modified>
</cp:coreProperties>
</file>