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976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微软雅黑" w:hAnsi="微软雅黑" w:eastAsia="微软雅黑" w:cs="微软雅黑"/>
          <w:b w:val="0"/>
          <w:bCs/>
          <w:i w:val="0"/>
          <w:caps w:val="0"/>
          <w:color w:val="auto"/>
          <w:spacing w:val="0"/>
          <w:sz w:val="36"/>
          <w:szCs w:val="36"/>
        </w:rPr>
      </w:pPr>
      <w:r>
        <w:rPr>
          <w:rFonts w:hint="eastAsia" w:ascii="微软雅黑" w:hAnsi="微软雅黑" w:eastAsia="微软雅黑" w:cs="微软雅黑"/>
          <w:b w:val="0"/>
          <w:bCs/>
          <w:i w:val="0"/>
          <w:caps w:val="0"/>
          <w:color w:val="auto"/>
          <w:spacing w:val="0"/>
          <w:kern w:val="0"/>
          <w:sz w:val="36"/>
          <w:szCs w:val="36"/>
          <w:lang w:val="en-US" w:eastAsia="zh-CN" w:bidi="ar"/>
        </w:rPr>
        <w:t>第十三师应急管理局</w:t>
      </w:r>
      <w:r>
        <w:rPr>
          <w:rFonts w:ascii="微软雅黑" w:hAnsi="微软雅黑" w:eastAsia="微软雅黑" w:cs="微软雅黑"/>
          <w:b w:val="0"/>
          <w:bCs/>
          <w:i w:val="0"/>
          <w:caps w:val="0"/>
          <w:color w:val="auto"/>
          <w:spacing w:val="0"/>
          <w:sz w:val="36"/>
          <w:szCs w:val="36"/>
        </w:rPr>
        <w:t>行政处罚案件信息公开表</w:t>
      </w:r>
    </w:p>
    <w:p w14:paraId="4F3EAD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微软雅黑" w:hAnsi="微软雅黑" w:eastAsia="微软雅黑" w:cs="微软雅黑"/>
          <w:b w:val="0"/>
          <w:bCs/>
          <w:i w:val="0"/>
          <w:caps w:val="0"/>
          <w:color w:val="auto"/>
          <w:spacing w:val="0"/>
          <w:kern w:val="0"/>
          <w:sz w:val="36"/>
          <w:szCs w:val="36"/>
          <w:lang w:val="en-US" w:eastAsia="zh-CN" w:bidi="ar"/>
        </w:rPr>
      </w:pPr>
      <w:r>
        <w:rPr>
          <w:rFonts w:hint="eastAsia" w:ascii="微软雅黑" w:hAnsi="微软雅黑" w:eastAsia="微软雅黑" w:cs="微软雅黑"/>
          <w:b w:val="0"/>
          <w:bCs/>
          <w:i w:val="0"/>
          <w:caps w:val="0"/>
          <w:color w:val="auto"/>
          <w:spacing w:val="0"/>
          <w:kern w:val="0"/>
          <w:sz w:val="36"/>
          <w:szCs w:val="36"/>
          <w:lang w:val="en-US" w:eastAsia="zh-CN" w:bidi="ar"/>
        </w:rPr>
        <w:t xml:space="preserve">（2024年第9期）  </w:t>
      </w:r>
    </w:p>
    <w:p w14:paraId="488EF9A1">
      <w:pPr>
        <w:pStyle w:val="6"/>
        <w:keepNext w:val="0"/>
        <w:keepLines w:val="0"/>
        <w:pageBreakBefore w:val="0"/>
        <w:kinsoku/>
        <w:wordWrap/>
        <w:overflowPunct/>
        <w:topLinePunct w:val="0"/>
        <w:autoSpaceDE/>
        <w:autoSpaceDN/>
        <w:bidi w:val="0"/>
        <w:adjustRightInd/>
        <w:snapToGrid/>
        <w:spacing w:line="400" w:lineRule="exact"/>
        <w:rPr>
          <w:rFonts w:hint="eastAsia"/>
          <w:color w:val="auto"/>
          <w:lang w:val="en-US" w:eastAsia="zh-CN"/>
        </w:rPr>
      </w:pPr>
    </w:p>
    <w:tbl>
      <w:tblPr>
        <w:tblStyle w:val="7"/>
        <w:tblW w:w="9580" w:type="dxa"/>
        <w:jc w:val="center"/>
        <w:tblLayout w:type="fixed"/>
        <w:tblCellMar>
          <w:top w:w="0" w:type="dxa"/>
          <w:left w:w="0" w:type="dxa"/>
          <w:bottom w:w="0" w:type="dxa"/>
          <w:right w:w="0" w:type="dxa"/>
        </w:tblCellMar>
      </w:tblPr>
      <w:tblGrid>
        <w:gridCol w:w="2040"/>
        <w:gridCol w:w="7540"/>
      </w:tblGrid>
      <w:tr w14:paraId="68A2A40C">
        <w:tblPrEx>
          <w:tblCellMar>
            <w:top w:w="0" w:type="dxa"/>
            <w:left w:w="0" w:type="dxa"/>
            <w:bottom w:w="0" w:type="dxa"/>
            <w:right w:w="0" w:type="dxa"/>
          </w:tblCellMar>
        </w:tblPrEx>
        <w:trPr>
          <w:trHeight w:val="771" w:hRule="atLeast"/>
          <w:jc w:val="center"/>
        </w:trPr>
        <w:tc>
          <w:tcPr>
            <w:tcW w:w="9580" w:type="dxa"/>
            <w:gridSpan w:val="2"/>
            <w:tcBorders>
              <w:top w:val="nil"/>
              <w:left w:val="nil"/>
              <w:bottom w:val="nil"/>
              <w:right w:val="nil"/>
            </w:tcBorders>
            <w:noWrap/>
            <w:tcMar>
              <w:top w:w="15" w:type="dxa"/>
              <w:left w:w="15" w:type="dxa"/>
              <w:right w:w="15" w:type="dxa"/>
            </w:tcMar>
            <w:vAlign w:val="center"/>
          </w:tcPr>
          <w:p w14:paraId="289BC0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黑体" w:hAnsi="宋体" w:eastAsia="黑体" w:cs="黑体"/>
                <w:i w:val="0"/>
                <w:color w:val="auto"/>
                <w:sz w:val="32"/>
                <w:szCs w:val="32"/>
                <w:u w:val="none"/>
              </w:rPr>
            </w:pPr>
            <w:r>
              <w:rPr>
                <w:rFonts w:hint="eastAsia" w:ascii="黑体" w:hAnsi="宋体" w:eastAsia="黑体" w:cs="黑体"/>
                <w:i w:val="0"/>
                <w:color w:val="auto"/>
                <w:kern w:val="0"/>
                <w:sz w:val="32"/>
                <w:szCs w:val="32"/>
                <w:u w:val="none"/>
                <w:lang w:val="en-US" w:eastAsia="zh-CN" w:bidi="ar"/>
              </w:rPr>
              <w:t>第十三师安全生产行政处罚公示（师应急案〔2024〕FM03号）</w:t>
            </w:r>
          </w:p>
        </w:tc>
      </w:tr>
      <w:tr w14:paraId="08960CAB">
        <w:tblPrEx>
          <w:tblCellMar>
            <w:top w:w="0" w:type="dxa"/>
            <w:left w:w="0" w:type="dxa"/>
            <w:bottom w:w="0" w:type="dxa"/>
            <w:right w:w="0" w:type="dxa"/>
          </w:tblCellMar>
        </w:tblPrEx>
        <w:trPr>
          <w:trHeight w:val="277" w:hRule="atLeast"/>
          <w:jc w:val="center"/>
        </w:trPr>
        <w:tc>
          <w:tcPr>
            <w:tcW w:w="9580" w:type="dxa"/>
            <w:gridSpan w:val="2"/>
            <w:tcBorders>
              <w:top w:val="nil"/>
              <w:left w:val="nil"/>
              <w:bottom w:val="nil"/>
              <w:right w:val="nil"/>
            </w:tcBorders>
            <w:noWrap/>
            <w:tcMar>
              <w:top w:w="15" w:type="dxa"/>
              <w:left w:w="15" w:type="dxa"/>
              <w:right w:w="15" w:type="dxa"/>
            </w:tcMar>
            <w:vAlign w:val="center"/>
          </w:tcPr>
          <w:p w14:paraId="60D6D828">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color w:val="auto"/>
                <w:sz w:val="24"/>
                <w:szCs w:val="24"/>
                <w:u w:val="none"/>
              </w:rPr>
            </w:pPr>
          </w:p>
        </w:tc>
      </w:tr>
      <w:tr w14:paraId="62DB79BB">
        <w:tblPrEx>
          <w:tblCellMar>
            <w:top w:w="0" w:type="dxa"/>
            <w:left w:w="0" w:type="dxa"/>
            <w:bottom w:w="0" w:type="dxa"/>
            <w:right w:w="0" w:type="dxa"/>
          </w:tblCellMar>
        </w:tblPrEx>
        <w:trPr>
          <w:trHeight w:val="567" w:hRule="exact"/>
          <w:jc w:val="center"/>
        </w:trPr>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CA17D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处罚决定文号</w:t>
            </w:r>
          </w:p>
        </w:tc>
        <w:tc>
          <w:tcPr>
            <w:tcW w:w="7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27EB2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简体" w:hAnsi="方正仿宋简体" w:eastAsia="方正仿宋简体" w:cs="方正仿宋简体"/>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行政处罚决定书（十三师应急罚〔2024〕FM03号）</w:t>
            </w:r>
          </w:p>
        </w:tc>
      </w:tr>
      <w:tr w14:paraId="231A109F">
        <w:tblPrEx>
          <w:tblCellMar>
            <w:top w:w="0" w:type="dxa"/>
            <w:left w:w="0" w:type="dxa"/>
            <w:bottom w:w="0" w:type="dxa"/>
            <w:right w:w="0" w:type="dxa"/>
          </w:tblCellMar>
        </w:tblPrEx>
        <w:trPr>
          <w:trHeight w:val="567" w:hRule="exact"/>
          <w:jc w:val="center"/>
        </w:trPr>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DA07A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处罚名称</w:t>
            </w:r>
          </w:p>
        </w:tc>
        <w:tc>
          <w:tcPr>
            <w:tcW w:w="7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D561C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哈密天隆镍业有限责任公司隐患排查治理违法行政处罚案</w:t>
            </w:r>
          </w:p>
        </w:tc>
      </w:tr>
      <w:tr w14:paraId="6644294B">
        <w:tblPrEx>
          <w:tblCellMar>
            <w:top w:w="0" w:type="dxa"/>
            <w:left w:w="0" w:type="dxa"/>
            <w:bottom w:w="0" w:type="dxa"/>
            <w:right w:w="0" w:type="dxa"/>
          </w:tblCellMar>
        </w:tblPrEx>
        <w:trPr>
          <w:trHeight w:val="567" w:hRule="exact"/>
          <w:jc w:val="center"/>
        </w:trPr>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5A6E6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处罚类别</w:t>
            </w:r>
          </w:p>
        </w:tc>
        <w:tc>
          <w:tcPr>
            <w:tcW w:w="7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2C19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责令限期整改，并处罚款。</w:t>
            </w:r>
          </w:p>
        </w:tc>
      </w:tr>
      <w:tr w14:paraId="38043E79">
        <w:tblPrEx>
          <w:tblCellMar>
            <w:top w:w="0" w:type="dxa"/>
            <w:left w:w="0" w:type="dxa"/>
            <w:bottom w:w="0" w:type="dxa"/>
            <w:right w:w="0" w:type="dxa"/>
          </w:tblCellMar>
        </w:tblPrEx>
        <w:trPr>
          <w:trHeight w:val="3742" w:hRule="exact"/>
          <w:jc w:val="center"/>
        </w:trPr>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F61B9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违法事实</w:t>
            </w:r>
          </w:p>
        </w:tc>
        <w:tc>
          <w:tcPr>
            <w:tcW w:w="7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355156">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2024 年7月24日，国家矿山安全监察局非煤矿山异地检查第二批第十二组对哈密天隆镍业有限责任公司开展异地检查，检查出哈密天隆镍业有限责任公司</w:t>
            </w:r>
            <w:r>
              <w:rPr>
                <w:rFonts w:hint="eastAsia" w:ascii="仿宋_GB2312" w:hAnsi="仿宋_GB2312" w:eastAsia="仿宋_GB2312" w:cs="仿宋_GB2312"/>
                <w:sz w:val="24"/>
                <w:szCs w:val="24"/>
                <w:lang w:val="en-US" w:eastAsia="zh-CN"/>
              </w:rPr>
              <w:t>1条</w:t>
            </w:r>
            <w:r>
              <w:rPr>
                <w:rFonts w:hint="eastAsia" w:ascii="仿宋_GB2312" w:hAnsi="仿宋_GB2312" w:eastAsia="仿宋_GB2312" w:cs="仿宋_GB2312"/>
                <w:sz w:val="24"/>
                <w:szCs w:val="24"/>
              </w:rPr>
              <w:t>重大</w:t>
            </w:r>
            <w:r>
              <w:rPr>
                <w:rFonts w:hint="eastAsia" w:ascii="仿宋_GB2312" w:hAnsi="仿宋_GB2312" w:eastAsia="仿宋_GB2312" w:cs="仿宋_GB2312"/>
                <w:sz w:val="24"/>
                <w:szCs w:val="24"/>
                <w:lang w:val="en-US" w:eastAsia="zh-CN"/>
              </w:rPr>
              <w:t>事故</w:t>
            </w:r>
            <w:r>
              <w:rPr>
                <w:rFonts w:hint="eastAsia" w:ascii="仿宋_GB2312" w:hAnsi="仿宋_GB2312" w:eastAsia="仿宋_GB2312" w:cs="仿宋_GB2312"/>
                <w:sz w:val="24"/>
                <w:szCs w:val="24"/>
              </w:rPr>
              <w:t>隐患：主竖井井口及井下中段马头门设置的摇台与推车机连锁，但是摇台未与提升机连锁。</w:t>
            </w:r>
          </w:p>
          <w:p w14:paraId="4FCF0573">
            <w:pPr>
              <w:pStyle w:val="2"/>
              <w:keepNext w:val="0"/>
              <w:keepLines w:val="0"/>
              <w:pageBreakBefore w:val="0"/>
              <w:kinsoku/>
              <w:wordWrap/>
              <w:overflowPunct/>
              <w:topLinePunct w:val="0"/>
              <w:autoSpaceDE/>
              <w:autoSpaceDN/>
              <w:bidi w:val="0"/>
              <w:adjustRightInd/>
              <w:snapToGrid/>
              <w:spacing w:line="440" w:lineRule="exact"/>
              <w:ind w:firstLine="480" w:firstLineChars="200"/>
              <w:rPr>
                <w:rFonts w:hint="eastAsia"/>
                <w:sz w:val="24"/>
                <w:szCs w:val="24"/>
                <w:lang w:val="en-US" w:eastAsia="zh-CN"/>
              </w:rPr>
            </w:pPr>
            <w:r>
              <w:rPr>
                <w:rFonts w:hint="eastAsia" w:ascii="仿宋_GB2312" w:hAnsi="仿宋_GB2312" w:eastAsia="仿宋_GB2312" w:cs="仿宋_GB2312"/>
                <w:kern w:val="2"/>
                <w:sz w:val="24"/>
                <w:szCs w:val="24"/>
                <w:lang w:val="en-US" w:eastAsia="zh-CN" w:bidi="ar-SA"/>
              </w:rPr>
              <w:t>哈密天隆镍业有限责任公司违反了《中华人民共和国安全生产法》（2021年修订）第四十一条第二款，《金属非金属矿山安全规程》第6.4.8.13条，《金属非金属矿山重大事故隐患判定标准》金属非金属地下矿山重大事故隐患第（二十二）条第2项的规定。</w:t>
            </w:r>
          </w:p>
        </w:tc>
      </w:tr>
      <w:tr w14:paraId="7C701577">
        <w:tblPrEx>
          <w:tblCellMar>
            <w:top w:w="0" w:type="dxa"/>
            <w:left w:w="0" w:type="dxa"/>
            <w:bottom w:w="0" w:type="dxa"/>
            <w:right w:w="0" w:type="dxa"/>
          </w:tblCellMar>
        </w:tblPrEx>
        <w:trPr>
          <w:trHeight w:val="1984" w:hRule="exact"/>
          <w:jc w:val="center"/>
        </w:trPr>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6278E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处罚依据</w:t>
            </w:r>
          </w:p>
        </w:tc>
        <w:tc>
          <w:tcPr>
            <w:tcW w:w="7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E838F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依据《中华人民共和国安全生产法》（2021年修订）第一百零二条，《新疆维吾尔自治区应急管理系统行政处罚自由载量基准》40.5.5的规定，给与哈密天隆镍业有限责任公司责令限期整改，并处人民币</w:t>
            </w:r>
            <w:r>
              <w:rPr>
                <w:rFonts w:hint="eastAsia" w:ascii="仿宋_GB2312" w:hAnsi="仿宋_GB2312" w:eastAsia="仿宋_GB2312" w:cs="仿宋_GB2312"/>
                <w:b/>
                <w:bCs/>
                <w:i w:val="0"/>
                <w:color w:val="auto"/>
                <w:kern w:val="0"/>
                <w:sz w:val="24"/>
                <w:szCs w:val="24"/>
                <w:u w:val="none"/>
                <w:lang w:val="en-US" w:eastAsia="zh-CN" w:bidi="ar"/>
              </w:rPr>
              <w:t>50000元（大写：伍万元整）</w:t>
            </w:r>
            <w:r>
              <w:rPr>
                <w:rFonts w:hint="eastAsia" w:ascii="仿宋_GB2312" w:hAnsi="仿宋_GB2312" w:eastAsia="仿宋_GB2312" w:cs="仿宋_GB2312"/>
                <w:i w:val="0"/>
                <w:color w:val="auto"/>
                <w:kern w:val="0"/>
                <w:sz w:val="24"/>
                <w:szCs w:val="24"/>
                <w:u w:val="none"/>
                <w:lang w:val="en-US" w:eastAsia="zh-CN" w:bidi="ar"/>
              </w:rPr>
              <w:t>罚款的行政处罚。</w:t>
            </w:r>
          </w:p>
        </w:tc>
      </w:tr>
      <w:tr w14:paraId="63B6CE76">
        <w:tblPrEx>
          <w:tblCellMar>
            <w:top w:w="0" w:type="dxa"/>
            <w:left w:w="0" w:type="dxa"/>
            <w:bottom w:w="0" w:type="dxa"/>
            <w:right w:w="0" w:type="dxa"/>
          </w:tblCellMar>
        </w:tblPrEx>
        <w:trPr>
          <w:trHeight w:val="567" w:hRule="exact"/>
          <w:jc w:val="center"/>
        </w:trPr>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5CCEC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处罚结果</w:t>
            </w:r>
          </w:p>
        </w:tc>
        <w:tc>
          <w:tcPr>
            <w:tcW w:w="7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4FED2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责令限期整改，并处人民币</w:t>
            </w:r>
            <w:r>
              <w:rPr>
                <w:rFonts w:hint="eastAsia" w:ascii="仿宋_GB2312" w:hAnsi="仿宋_GB2312" w:eastAsia="仿宋_GB2312" w:cs="仿宋_GB2312"/>
                <w:b/>
                <w:bCs/>
                <w:i w:val="0"/>
                <w:color w:val="auto"/>
                <w:kern w:val="0"/>
                <w:sz w:val="24"/>
                <w:szCs w:val="24"/>
                <w:u w:val="none"/>
                <w:lang w:val="en-US" w:eastAsia="zh-CN" w:bidi="ar"/>
              </w:rPr>
              <w:t>伍万元整（¥50000元）</w:t>
            </w:r>
            <w:r>
              <w:rPr>
                <w:rFonts w:hint="eastAsia" w:ascii="仿宋_GB2312" w:hAnsi="仿宋_GB2312" w:eastAsia="仿宋_GB2312" w:cs="仿宋_GB2312"/>
                <w:i w:val="0"/>
                <w:color w:val="auto"/>
                <w:kern w:val="0"/>
                <w:sz w:val="24"/>
                <w:szCs w:val="24"/>
                <w:u w:val="none"/>
                <w:lang w:val="en-US" w:eastAsia="zh-CN" w:bidi="ar"/>
              </w:rPr>
              <w:t>的罚款。</w:t>
            </w:r>
          </w:p>
        </w:tc>
      </w:tr>
      <w:tr w14:paraId="4D5483D7">
        <w:tblPrEx>
          <w:tblCellMar>
            <w:top w:w="0" w:type="dxa"/>
            <w:left w:w="0" w:type="dxa"/>
            <w:bottom w:w="0" w:type="dxa"/>
            <w:right w:w="0" w:type="dxa"/>
          </w:tblCellMar>
        </w:tblPrEx>
        <w:trPr>
          <w:trHeight w:val="567" w:hRule="exact"/>
          <w:jc w:val="center"/>
        </w:trPr>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257C2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行政相对人名称</w:t>
            </w:r>
          </w:p>
        </w:tc>
        <w:tc>
          <w:tcPr>
            <w:tcW w:w="7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A5859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哈密天隆镍业有限责任公司</w:t>
            </w:r>
          </w:p>
        </w:tc>
      </w:tr>
      <w:tr w14:paraId="224AAFE6">
        <w:tblPrEx>
          <w:tblCellMar>
            <w:top w:w="0" w:type="dxa"/>
            <w:left w:w="0" w:type="dxa"/>
            <w:bottom w:w="0" w:type="dxa"/>
            <w:right w:w="0" w:type="dxa"/>
          </w:tblCellMar>
        </w:tblPrEx>
        <w:trPr>
          <w:trHeight w:val="567" w:hRule="exact"/>
          <w:jc w:val="center"/>
        </w:trPr>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9DB88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统一社会信用代码</w:t>
            </w:r>
          </w:p>
        </w:tc>
        <w:tc>
          <w:tcPr>
            <w:tcW w:w="7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0AF98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916522007291420113</w:t>
            </w:r>
          </w:p>
        </w:tc>
      </w:tr>
      <w:tr w14:paraId="447DEF19">
        <w:tblPrEx>
          <w:tblCellMar>
            <w:top w:w="0" w:type="dxa"/>
            <w:left w:w="0" w:type="dxa"/>
            <w:bottom w:w="0" w:type="dxa"/>
            <w:right w:w="0" w:type="dxa"/>
          </w:tblCellMar>
        </w:tblPrEx>
        <w:trPr>
          <w:trHeight w:val="567" w:hRule="exact"/>
          <w:jc w:val="center"/>
        </w:trPr>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68D93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法定代表人姓名</w:t>
            </w:r>
          </w:p>
        </w:tc>
        <w:tc>
          <w:tcPr>
            <w:tcW w:w="7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AB345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董军</w:t>
            </w:r>
          </w:p>
        </w:tc>
      </w:tr>
      <w:tr w14:paraId="5F355CCE">
        <w:tblPrEx>
          <w:tblCellMar>
            <w:top w:w="0" w:type="dxa"/>
            <w:left w:w="0" w:type="dxa"/>
            <w:bottom w:w="0" w:type="dxa"/>
            <w:right w:w="0" w:type="dxa"/>
          </w:tblCellMar>
        </w:tblPrEx>
        <w:trPr>
          <w:trHeight w:val="567" w:hRule="exact"/>
          <w:jc w:val="center"/>
        </w:trPr>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FAE9B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处罚决定日期</w:t>
            </w:r>
          </w:p>
        </w:tc>
        <w:tc>
          <w:tcPr>
            <w:tcW w:w="7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189CB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2024年9月24 日</w:t>
            </w:r>
          </w:p>
        </w:tc>
      </w:tr>
    </w:tbl>
    <w:p w14:paraId="2F9F4747">
      <w:pPr>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yMmYzMWFhM2M1ZWQ5ZmQxODljOTJmMzYxYjA1NTQifQ=="/>
  </w:docVars>
  <w:rsids>
    <w:rsidRoot w:val="9FFFCE18"/>
    <w:rsid w:val="239B75A4"/>
    <w:rsid w:val="40725D59"/>
    <w:rsid w:val="52BE301E"/>
    <w:rsid w:val="555D0B84"/>
    <w:rsid w:val="568975F7"/>
    <w:rsid w:val="6FAEE9F7"/>
    <w:rsid w:val="720869BF"/>
    <w:rsid w:val="7358222D"/>
    <w:rsid w:val="7B9B16F4"/>
    <w:rsid w:val="7E714E8D"/>
    <w:rsid w:val="9EE7D001"/>
    <w:rsid w:val="9FFFCE18"/>
    <w:rsid w:val="BA7B23C6"/>
    <w:rsid w:val="C5977DA5"/>
    <w:rsid w:val="D7F2A302"/>
    <w:rsid w:val="DDDFD767"/>
    <w:rsid w:val="DF73220B"/>
    <w:rsid w:val="E67F5230"/>
    <w:rsid w:val="EAEEEAA5"/>
    <w:rsid w:val="EFDFECF7"/>
    <w:rsid w:val="F7B16C6C"/>
    <w:rsid w:val="FAA925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宋体"/>
      <w:sz w:val="30"/>
      <w:szCs w:val="20"/>
    </w:rPr>
  </w:style>
  <w:style w:type="paragraph" w:styleId="3">
    <w:name w:val="Body Text"/>
    <w:basedOn w:val="1"/>
    <w:next w:val="4"/>
    <w:unhideWhenUsed/>
    <w:qFormat/>
    <w:uiPriority w:val="99"/>
    <w:pPr>
      <w:spacing w:after="120"/>
    </w:pPr>
  </w:style>
  <w:style w:type="paragraph" w:styleId="4">
    <w:name w:val="Body Text 2"/>
    <w:basedOn w:val="1"/>
    <w:unhideWhenUsed/>
    <w:qFormat/>
    <w:uiPriority w:val="0"/>
    <w:pPr>
      <w:spacing w:after="120" w:line="480" w:lineRule="auto"/>
    </w:pPr>
  </w:style>
  <w:style w:type="paragraph" w:styleId="5">
    <w:name w:val="Body Text First Indent"/>
    <w:basedOn w:val="3"/>
    <w:qFormat/>
    <w:uiPriority w:val="0"/>
  </w:style>
  <w:style w:type="paragraph" w:styleId="6">
    <w:name w:val="Body Text First Indent 2"/>
    <w:basedOn w:val="1"/>
    <w:next w:val="5"/>
    <w:qFormat/>
    <w:uiPriority w:val="0"/>
    <w:pPr>
      <w:spacing w:after="120"/>
      <w:ind w:left="420" w:leftChars="200" w:firstLine="420" w:firstLineChars="200"/>
    </w:pPr>
  </w:style>
  <w:style w:type="paragraph" w:customStyle="1" w:styleId="9">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534</Words>
  <Characters>601</Characters>
  <Lines>0</Lines>
  <Paragraphs>0</Paragraphs>
  <TotalTime>22</TotalTime>
  <ScaleCrop>false</ScaleCrop>
  <LinksUpToDate>false</LinksUpToDate>
  <CharactersWithSpaces>605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2023-04-24T10:53:00Z</dcterms:created>
  <dc:creator>admin</dc:creator>
  <cp:lastModifiedBy>厉飞雨丶</cp:lastModifiedBy>
  <cp:lastPrinted>2023-05-19T19:13:00Z</cp:lastPrinted>
  <dcterms:modified xsi:type="dcterms:W3CDTF">2024-09-25T03:34:10Z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1D48DFED8FC54D67AF4D2A9C72892E25_13</vt:lpwstr>
  </property>
</Properties>
</file>