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C2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ascii="微软雅黑" w:hAnsi="微软雅黑" w:eastAsia="微软雅黑" w:cs="微软雅黑"/>
          <w:b w:val="0"/>
          <w:bCs/>
          <w:i w:val="0"/>
          <w:caps w:val="0"/>
          <w:color w:val="auto"/>
          <w:spacing w:val="0"/>
          <w:sz w:val="36"/>
          <w:szCs w:val="36"/>
        </w:rPr>
      </w:pPr>
      <w:r>
        <w:rPr>
          <w:rFonts w:hint="eastAsia" w:ascii="微软雅黑" w:hAnsi="微软雅黑" w:eastAsia="微软雅黑" w:cs="微软雅黑"/>
          <w:b w:val="0"/>
          <w:bCs/>
          <w:i w:val="0"/>
          <w:caps w:val="0"/>
          <w:color w:val="auto"/>
          <w:spacing w:val="0"/>
          <w:kern w:val="0"/>
          <w:sz w:val="36"/>
          <w:szCs w:val="36"/>
          <w:lang w:val="en-US" w:eastAsia="zh-CN" w:bidi="ar"/>
        </w:rPr>
        <w:t>第十三师应急管理局</w:t>
      </w:r>
      <w:r>
        <w:rPr>
          <w:rFonts w:ascii="微软雅黑" w:hAnsi="微软雅黑" w:eastAsia="微软雅黑" w:cs="微软雅黑"/>
          <w:b w:val="0"/>
          <w:bCs/>
          <w:i w:val="0"/>
          <w:caps w:val="0"/>
          <w:color w:val="auto"/>
          <w:spacing w:val="0"/>
          <w:sz w:val="36"/>
          <w:szCs w:val="36"/>
        </w:rPr>
        <w:t>行政处罚案件信</w:t>
      </w:r>
      <w:bookmarkStart w:id="0" w:name="_GoBack"/>
      <w:bookmarkEnd w:id="0"/>
      <w:r>
        <w:rPr>
          <w:rFonts w:ascii="微软雅黑" w:hAnsi="微软雅黑" w:eastAsia="微软雅黑" w:cs="微软雅黑"/>
          <w:b w:val="0"/>
          <w:bCs/>
          <w:i w:val="0"/>
          <w:caps w:val="0"/>
          <w:color w:val="auto"/>
          <w:spacing w:val="0"/>
          <w:sz w:val="36"/>
          <w:szCs w:val="36"/>
        </w:rPr>
        <w:t>息公开表</w:t>
      </w:r>
    </w:p>
    <w:p w14:paraId="0420F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hint="default" w:ascii="微软雅黑" w:hAnsi="微软雅黑" w:eastAsia="微软雅黑" w:cs="微软雅黑"/>
          <w:b w:val="0"/>
          <w:bCs/>
          <w:i w:val="0"/>
          <w:caps w:val="0"/>
          <w:color w:val="auto"/>
          <w:spacing w:val="0"/>
          <w:kern w:val="0"/>
          <w:sz w:val="36"/>
          <w:szCs w:val="36"/>
          <w:lang w:val="en-US" w:eastAsia="zh-CN" w:bidi="ar"/>
        </w:rPr>
      </w:pPr>
      <w:r>
        <w:rPr>
          <w:rFonts w:hint="eastAsia" w:ascii="微软雅黑" w:hAnsi="微软雅黑" w:eastAsia="微软雅黑" w:cs="微软雅黑"/>
          <w:b w:val="0"/>
          <w:bCs/>
          <w:i w:val="0"/>
          <w:caps w:val="0"/>
          <w:color w:val="auto"/>
          <w:spacing w:val="0"/>
          <w:kern w:val="0"/>
          <w:sz w:val="36"/>
          <w:szCs w:val="36"/>
          <w:lang w:val="en-US" w:eastAsia="zh-CN" w:bidi="ar"/>
        </w:rPr>
        <w:t xml:space="preserve">（2024年第11期）  </w:t>
      </w:r>
    </w:p>
    <w:p w14:paraId="4DD9EB57">
      <w:pPr>
        <w:pStyle w:val="6"/>
        <w:rPr>
          <w:rFonts w:hint="eastAsia"/>
          <w:color w:val="auto"/>
          <w:lang w:val="en-US" w:eastAsia="zh-CN"/>
        </w:rPr>
      </w:pPr>
    </w:p>
    <w:tbl>
      <w:tblPr>
        <w:tblStyle w:val="7"/>
        <w:tblW w:w="0" w:type="auto"/>
        <w:tblInd w:w="0" w:type="dxa"/>
        <w:tblLayout w:type="fixed"/>
        <w:tblCellMar>
          <w:top w:w="0" w:type="dxa"/>
          <w:left w:w="0" w:type="dxa"/>
          <w:bottom w:w="0" w:type="dxa"/>
          <w:right w:w="0" w:type="dxa"/>
        </w:tblCellMar>
      </w:tblPr>
      <w:tblGrid>
        <w:gridCol w:w="2786"/>
        <w:gridCol w:w="6794"/>
      </w:tblGrid>
      <w:tr w14:paraId="2F5693D3">
        <w:tblPrEx>
          <w:tblCellMar>
            <w:top w:w="0" w:type="dxa"/>
            <w:left w:w="0" w:type="dxa"/>
            <w:bottom w:w="0" w:type="dxa"/>
            <w:right w:w="0" w:type="dxa"/>
          </w:tblCellMar>
        </w:tblPrEx>
        <w:trPr>
          <w:trHeight w:val="918" w:hRule="atLeast"/>
        </w:trPr>
        <w:tc>
          <w:tcPr>
            <w:tcW w:w="9580" w:type="dxa"/>
            <w:gridSpan w:val="2"/>
            <w:tcBorders>
              <w:top w:val="nil"/>
              <w:left w:val="nil"/>
              <w:bottom w:val="nil"/>
              <w:right w:val="nil"/>
            </w:tcBorders>
            <w:noWrap/>
            <w:tcMar>
              <w:top w:w="15" w:type="dxa"/>
              <w:left w:w="15" w:type="dxa"/>
              <w:right w:w="15" w:type="dxa"/>
            </w:tcMar>
            <w:vAlign w:val="center"/>
          </w:tcPr>
          <w:p w14:paraId="68EBDF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第十三师安全生产行政处罚公示（师应急案〔2024〕WH05号）</w:t>
            </w:r>
          </w:p>
        </w:tc>
      </w:tr>
      <w:tr w14:paraId="50620B82">
        <w:tblPrEx>
          <w:tblCellMar>
            <w:top w:w="0" w:type="dxa"/>
            <w:left w:w="0" w:type="dxa"/>
            <w:bottom w:w="0" w:type="dxa"/>
            <w:right w:w="0" w:type="dxa"/>
          </w:tblCellMar>
        </w:tblPrEx>
        <w:trPr>
          <w:trHeight w:val="207" w:hRule="atLeast"/>
        </w:trPr>
        <w:tc>
          <w:tcPr>
            <w:tcW w:w="9580" w:type="dxa"/>
            <w:gridSpan w:val="2"/>
            <w:tcBorders>
              <w:top w:val="nil"/>
              <w:left w:val="nil"/>
              <w:bottom w:val="nil"/>
              <w:right w:val="nil"/>
            </w:tcBorders>
            <w:noWrap/>
            <w:tcMar>
              <w:top w:w="15" w:type="dxa"/>
              <w:left w:w="15" w:type="dxa"/>
              <w:right w:w="15" w:type="dxa"/>
            </w:tcMar>
            <w:vAlign w:val="center"/>
          </w:tcPr>
          <w:p w14:paraId="3E60D7B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宋体" w:cs="宋体"/>
                <w:i w:val="0"/>
                <w:color w:val="auto"/>
                <w:sz w:val="24"/>
                <w:szCs w:val="24"/>
                <w:u w:val="none"/>
              </w:rPr>
            </w:pPr>
          </w:p>
        </w:tc>
      </w:tr>
      <w:tr w14:paraId="7BD6C060">
        <w:tblPrEx>
          <w:tblCellMar>
            <w:top w:w="0" w:type="dxa"/>
            <w:left w:w="0" w:type="dxa"/>
            <w:bottom w:w="0" w:type="dxa"/>
            <w:right w:w="0" w:type="dxa"/>
          </w:tblCellMar>
        </w:tblPrEx>
        <w:trPr>
          <w:trHeight w:val="74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533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处罚决定文号</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F51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2"/>
                <w:szCs w:val="22"/>
                <w:lang w:val="en-US" w:eastAsia="zh-CN"/>
              </w:rPr>
            </w:pPr>
            <w:r>
              <w:rPr>
                <w:rFonts w:hint="default" w:ascii="Times New Roman" w:hAnsi="Times New Roman" w:eastAsia="方正仿宋简体" w:cs="Times New Roman"/>
                <w:sz w:val="24"/>
                <w:szCs w:val="24"/>
              </w:rPr>
              <w:t>（</w:t>
            </w:r>
            <w:r>
              <w:rPr>
                <w:rFonts w:hint="default" w:ascii="Times New Roman" w:hAnsi="Times New Roman" w:eastAsia="方正仿宋简体" w:cs="Times New Roman"/>
                <w:sz w:val="24"/>
                <w:szCs w:val="24"/>
                <w:lang w:eastAsia="zh-CN"/>
              </w:rPr>
              <w:t>十三师</w:t>
            </w:r>
            <w:r>
              <w:rPr>
                <w:rFonts w:hint="default" w:ascii="Times New Roman" w:hAnsi="Times New Roman" w:eastAsia="方正仿宋简体" w:cs="Times New Roman"/>
                <w:sz w:val="24"/>
                <w:szCs w:val="24"/>
              </w:rPr>
              <w:t>）应急罚</w:t>
            </w:r>
            <w:r>
              <w:rPr>
                <w:rFonts w:hint="default" w:ascii="Times New Roman" w:hAnsi="Times New Roman" w:eastAsia="方正仿宋简体" w:cs="Times New Roman"/>
                <w:sz w:val="24"/>
                <w:szCs w:val="24"/>
                <w:lang w:eastAsia="zh-CN"/>
              </w:rPr>
              <w:t>〔202</w:t>
            </w: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WH</w:t>
            </w:r>
            <w:r>
              <w:rPr>
                <w:rFonts w:hint="default" w:ascii="Times New Roman" w:hAnsi="Times New Roman" w:eastAsia="方正仿宋简体" w:cs="Times New Roman"/>
                <w:sz w:val="24"/>
                <w:szCs w:val="24"/>
                <w:lang w:eastAsia="zh-CN"/>
              </w:rPr>
              <w:t>0</w:t>
            </w:r>
            <w:r>
              <w:rPr>
                <w:rFonts w:hint="default" w:ascii="Times New Roman" w:hAnsi="Times New Roman" w:eastAsia="方正仿宋简体" w:cs="Times New Roman"/>
                <w:sz w:val="24"/>
                <w:szCs w:val="24"/>
                <w:lang w:val="en-US" w:eastAsia="zh-CN"/>
              </w:rPr>
              <w:t>501</w:t>
            </w:r>
            <w:r>
              <w:rPr>
                <w:rFonts w:hint="default" w:ascii="Times New Roman" w:hAnsi="Times New Roman" w:eastAsia="方正仿宋简体" w:cs="Times New Roman"/>
                <w:sz w:val="24"/>
                <w:szCs w:val="24"/>
                <w:lang w:eastAsia="zh-CN"/>
              </w:rPr>
              <w:t>号</w:t>
            </w:r>
            <w:r>
              <w:rPr>
                <w:rFonts w:hint="eastAsia" w:eastAsia="方正仿宋简体" w:cs="Times New Roman"/>
                <w:sz w:val="24"/>
                <w:szCs w:val="24"/>
                <w:lang w:eastAsia="zh-CN"/>
              </w:rPr>
              <w:t>、</w:t>
            </w:r>
            <w:r>
              <w:rPr>
                <w:rFonts w:hint="default" w:ascii="Times New Roman" w:hAnsi="Times New Roman" w:eastAsia="方正仿宋简体" w:cs="Times New Roman"/>
                <w:sz w:val="24"/>
                <w:szCs w:val="24"/>
              </w:rPr>
              <w:t>（</w:t>
            </w:r>
            <w:r>
              <w:rPr>
                <w:rFonts w:hint="default" w:ascii="Times New Roman" w:hAnsi="Times New Roman" w:eastAsia="方正仿宋简体" w:cs="Times New Roman"/>
                <w:sz w:val="24"/>
                <w:szCs w:val="24"/>
                <w:lang w:eastAsia="zh-CN"/>
              </w:rPr>
              <w:t>十三师</w:t>
            </w:r>
            <w:r>
              <w:rPr>
                <w:rFonts w:hint="default" w:ascii="Times New Roman" w:hAnsi="Times New Roman" w:eastAsia="方正仿宋简体" w:cs="Times New Roman"/>
                <w:sz w:val="24"/>
                <w:szCs w:val="24"/>
              </w:rPr>
              <w:t>）应急罚</w:t>
            </w:r>
            <w:r>
              <w:rPr>
                <w:rFonts w:hint="default" w:ascii="Times New Roman" w:hAnsi="Times New Roman" w:eastAsia="方正仿宋简体" w:cs="Times New Roman"/>
                <w:sz w:val="24"/>
                <w:szCs w:val="24"/>
                <w:lang w:eastAsia="zh-CN"/>
              </w:rPr>
              <w:t>〔202</w:t>
            </w: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WH</w:t>
            </w:r>
            <w:r>
              <w:rPr>
                <w:rFonts w:hint="default" w:ascii="Times New Roman" w:hAnsi="Times New Roman" w:eastAsia="方正仿宋简体" w:cs="Times New Roman"/>
                <w:sz w:val="24"/>
                <w:szCs w:val="24"/>
                <w:lang w:eastAsia="zh-CN"/>
              </w:rPr>
              <w:t>0</w:t>
            </w:r>
            <w:r>
              <w:rPr>
                <w:rFonts w:hint="default" w:ascii="Times New Roman" w:hAnsi="Times New Roman" w:eastAsia="方正仿宋简体" w:cs="Times New Roman"/>
                <w:sz w:val="24"/>
                <w:szCs w:val="24"/>
                <w:lang w:val="en-US" w:eastAsia="zh-CN"/>
              </w:rPr>
              <w:t>50</w:t>
            </w: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lang w:eastAsia="zh-CN"/>
              </w:rPr>
              <w:t>号</w:t>
            </w:r>
          </w:p>
        </w:tc>
      </w:tr>
      <w:tr w14:paraId="078B4CD8">
        <w:tblPrEx>
          <w:tblCellMar>
            <w:top w:w="0" w:type="dxa"/>
            <w:left w:w="0" w:type="dxa"/>
            <w:bottom w:w="0" w:type="dxa"/>
            <w:right w:w="0" w:type="dxa"/>
          </w:tblCellMar>
        </w:tblPrEx>
        <w:trPr>
          <w:trHeight w:val="52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005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BB5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哈密奥发鑫源化工有限责任公司存在重大隐患行政处罚案</w:t>
            </w:r>
          </w:p>
        </w:tc>
      </w:tr>
      <w:tr w14:paraId="7C10C9A7">
        <w:tblPrEx>
          <w:tblCellMar>
            <w:top w:w="0" w:type="dxa"/>
            <w:left w:w="0" w:type="dxa"/>
            <w:bottom w:w="0" w:type="dxa"/>
            <w:right w:w="0" w:type="dxa"/>
          </w:tblCellMar>
        </w:tblPrEx>
        <w:trPr>
          <w:trHeight w:val="5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0B2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处罚类别</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6B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给与警告、责令限期整改，并处罚款。</w:t>
            </w:r>
          </w:p>
        </w:tc>
      </w:tr>
      <w:tr w14:paraId="4F61A320">
        <w:tblPrEx>
          <w:tblCellMar>
            <w:top w:w="0" w:type="dxa"/>
            <w:left w:w="0" w:type="dxa"/>
            <w:bottom w:w="0" w:type="dxa"/>
            <w:right w:w="0" w:type="dxa"/>
          </w:tblCellMar>
        </w:tblPrEx>
        <w:trPr>
          <w:trHeight w:val="1362"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8E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违法事实</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AE2D0">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2024年9月25日，第十三师应急管理局按照《2024年度安全生产监督检查计划》安排，对哈密奥发鑫源化工有限责任公司企业开展检查，发现该公司现场存在煤场高处作业人员未取得特种作业人员操作证重大隐患。2024年9月29日在进行询问笔录和证据固定中，该公司高处作业人员和安全总监承认现场高处作业未按照企业制定的高处作业安全管理制度和操作规程执行，高处作业未开具作业票。</w:t>
            </w:r>
          </w:p>
        </w:tc>
      </w:tr>
      <w:tr w14:paraId="6D37EDFD">
        <w:tblPrEx>
          <w:tblCellMar>
            <w:top w:w="0" w:type="dxa"/>
            <w:left w:w="0" w:type="dxa"/>
            <w:bottom w:w="0" w:type="dxa"/>
            <w:right w:w="0" w:type="dxa"/>
          </w:tblCellMar>
        </w:tblPrEx>
        <w:trPr>
          <w:trHeight w:val="12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8F6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处罚依据</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E497">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both"/>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哈密奥发鑫源化工有限责任公司行为</w:t>
            </w:r>
            <w:r>
              <w:rPr>
                <w:rFonts w:hint="default" w:ascii="方正仿宋简体" w:hAnsi="方正仿宋简体" w:eastAsia="方正仿宋简体" w:cs="方正仿宋简体"/>
                <w:sz w:val="22"/>
                <w:szCs w:val="22"/>
                <w:lang w:val="en-US" w:eastAsia="zh-CN"/>
              </w:rPr>
              <w:t>违反《化工和危险化学品生产经营单位重大事故隐患判定标准（试行）》第二条</w:t>
            </w:r>
            <w:r>
              <w:rPr>
                <w:rFonts w:hint="eastAsia" w:ascii="方正仿宋简体" w:hAnsi="方正仿宋简体" w:eastAsia="方正仿宋简体" w:cs="方正仿宋简体"/>
                <w:sz w:val="22"/>
                <w:szCs w:val="22"/>
                <w:lang w:val="en-US" w:eastAsia="zh-CN"/>
              </w:rPr>
              <w:t>、第十八条，《中华人民共和国安全生产法》</w:t>
            </w:r>
            <w:r>
              <w:rPr>
                <w:rFonts w:hint="default" w:ascii="方正仿宋简体" w:hAnsi="方正仿宋简体" w:eastAsia="方正仿宋简体" w:cs="方正仿宋简体"/>
                <w:sz w:val="22"/>
                <w:szCs w:val="22"/>
                <w:lang w:val="en-US" w:eastAsia="zh-CN"/>
              </w:rPr>
              <w:t>第三十条</w:t>
            </w:r>
            <w:r>
              <w:rPr>
                <w:rFonts w:hint="eastAsia" w:ascii="方正仿宋简体" w:hAnsi="方正仿宋简体" w:eastAsia="方正仿宋简体" w:cs="方正仿宋简体"/>
                <w:sz w:val="22"/>
                <w:szCs w:val="22"/>
                <w:lang w:val="en-US" w:eastAsia="zh-CN"/>
              </w:rPr>
              <w:t>第一款、</w:t>
            </w:r>
            <w:r>
              <w:rPr>
                <w:rFonts w:hint="default" w:ascii="方正仿宋简体" w:hAnsi="方正仿宋简体" w:eastAsia="方正仿宋简体" w:cs="方正仿宋简体"/>
                <w:sz w:val="22"/>
                <w:szCs w:val="22"/>
                <w:lang w:val="en-US" w:eastAsia="zh-CN"/>
              </w:rPr>
              <w:t>《化学品生产单位特殊作业安全规范》（GB 30871-2022）4.6</w:t>
            </w:r>
            <w:r>
              <w:rPr>
                <w:rFonts w:hint="eastAsia" w:ascii="方正仿宋简体" w:hAnsi="方正仿宋简体" w:eastAsia="方正仿宋简体" w:cs="方正仿宋简体"/>
                <w:sz w:val="22"/>
                <w:szCs w:val="22"/>
                <w:lang w:val="en-US" w:eastAsia="zh-CN"/>
              </w:rPr>
              <w:t>的规定，根据《中华人民共和国安全生产法》第九十七条第（七）项、</w:t>
            </w:r>
            <w:r>
              <w:rPr>
                <w:rFonts w:hint="default" w:ascii="方正仿宋简体" w:hAnsi="方正仿宋简体" w:eastAsia="方正仿宋简体" w:cs="方正仿宋简体"/>
                <w:sz w:val="22"/>
                <w:szCs w:val="22"/>
                <w:lang w:val="en-US" w:eastAsia="zh-CN"/>
              </w:rPr>
              <w:t>《新疆维吾尔自治区应急管理系统行政处罚自由裁量基准》16.5.1</w:t>
            </w:r>
            <w:r>
              <w:rPr>
                <w:rFonts w:hint="eastAsia" w:ascii="方正仿宋简体" w:hAnsi="方正仿宋简体" w:eastAsia="方正仿宋简体" w:cs="方正仿宋简体"/>
                <w:sz w:val="22"/>
                <w:szCs w:val="22"/>
                <w:lang w:val="en-US" w:eastAsia="zh-CN"/>
              </w:rPr>
              <w:t>、</w:t>
            </w:r>
            <w:r>
              <w:rPr>
                <w:rFonts w:hint="default" w:ascii="方正仿宋简体" w:hAnsi="方正仿宋简体" w:eastAsia="方正仿宋简体" w:cs="方正仿宋简体"/>
                <w:sz w:val="22"/>
                <w:szCs w:val="22"/>
                <w:lang w:val="en-US" w:eastAsia="zh-CN"/>
              </w:rPr>
              <w:t>70.5.1</w:t>
            </w:r>
            <w:r>
              <w:rPr>
                <w:rFonts w:hint="eastAsia" w:ascii="方正仿宋简体" w:hAnsi="方正仿宋简体" w:eastAsia="方正仿宋简体" w:cs="方正仿宋简体"/>
                <w:sz w:val="22"/>
                <w:szCs w:val="22"/>
                <w:lang w:val="en-US" w:eastAsia="zh-CN"/>
              </w:rPr>
              <w:t>，《安全生产违法行为行政处罚办法》</w:t>
            </w:r>
            <w:r>
              <w:rPr>
                <w:rFonts w:hint="default" w:ascii="方正仿宋简体" w:hAnsi="方正仿宋简体" w:eastAsia="方正仿宋简体" w:cs="方正仿宋简体"/>
                <w:sz w:val="22"/>
                <w:szCs w:val="22"/>
                <w:lang w:val="en-US" w:eastAsia="zh-CN"/>
              </w:rPr>
              <w:t>第四十五条</w:t>
            </w:r>
            <w:r>
              <w:rPr>
                <w:rFonts w:hint="eastAsia" w:ascii="方正仿宋简体" w:hAnsi="方正仿宋简体" w:eastAsia="方正仿宋简体" w:cs="方正仿宋简体"/>
                <w:sz w:val="22"/>
                <w:szCs w:val="22"/>
                <w:lang w:val="en-US" w:eastAsia="zh-CN"/>
              </w:rPr>
              <w:t>第（一）项、第五十三条内容对该企业进行处罚。</w:t>
            </w:r>
          </w:p>
          <w:p w14:paraId="4A048648">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both"/>
              <w:textAlignment w:val="center"/>
              <w:rPr>
                <w:rFonts w:hint="default"/>
                <w:lang w:val="en-US" w:eastAsia="zh-CN"/>
              </w:rPr>
            </w:pPr>
            <w:r>
              <w:rPr>
                <w:rFonts w:hint="eastAsia" w:ascii="方正仿宋简体" w:hAnsi="方正仿宋简体" w:eastAsia="方正仿宋简体" w:cs="方正仿宋简体"/>
                <w:sz w:val="22"/>
                <w:szCs w:val="22"/>
                <w:lang w:val="en-US" w:eastAsia="zh-CN"/>
              </w:rPr>
              <w:t>主要负责人</w:t>
            </w:r>
            <w:r>
              <w:rPr>
                <w:rFonts w:hint="default" w:ascii="方正仿宋简体" w:hAnsi="方正仿宋简体" w:eastAsia="方正仿宋简体" w:cs="方正仿宋简体"/>
                <w:sz w:val="22"/>
                <w:szCs w:val="22"/>
                <w:lang w:val="en-US" w:eastAsia="zh-CN"/>
              </w:rPr>
              <w:t>违反《化学品生产单位特殊作业安全规范》（GB 30871-2022）4.6</w:t>
            </w:r>
            <w:r>
              <w:rPr>
                <w:rFonts w:hint="eastAsia" w:ascii="方正仿宋简体" w:hAnsi="方正仿宋简体" w:eastAsia="方正仿宋简体" w:cs="方正仿宋简体"/>
                <w:sz w:val="22"/>
                <w:szCs w:val="22"/>
                <w:lang w:val="en-US" w:eastAsia="zh-CN"/>
              </w:rPr>
              <w:t>的规定，根据《安全生产违法行为行政处罚办法》</w:t>
            </w:r>
            <w:r>
              <w:rPr>
                <w:rFonts w:hint="default" w:ascii="方正仿宋简体" w:hAnsi="方正仿宋简体" w:eastAsia="方正仿宋简体" w:cs="方正仿宋简体"/>
                <w:sz w:val="22"/>
                <w:szCs w:val="22"/>
                <w:lang w:val="en-US" w:eastAsia="zh-CN"/>
              </w:rPr>
              <w:t>第四十五条</w:t>
            </w:r>
            <w:r>
              <w:rPr>
                <w:rFonts w:hint="eastAsia" w:ascii="方正仿宋简体" w:hAnsi="方正仿宋简体" w:eastAsia="方正仿宋简体" w:cs="方正仿宋简体"/>
                <w:sz w:val="22"/>
                <w:szCs w:val="22"/>
                <w:lang w:val="en-US" w:eastAsia="zh-CN"/>
              </w:rPr>
              <w:t>第（一）项、</w:t>
            </w:r>
            <w:r>
              <w:rPr>
                <w:rFonts w:hint="default" w:ascii="方正仿宋简体" w:hAnsi="方正仿宋简体" w:eastAsia="方正仿宋简体" w:cs="方正仿宋简体"/>
                <w:sz w:val="22"/>
                <w:szCs w:val="22"/>
                <w:lang w:val="en-US" w:eastAsia="zh-CN"/>
              </w:rPr>
              <w:t>《新疆维吾尔自治区应急管理系统行政处罚自由裁量基准》70.5.1</w:t>
            </w:r>
            <w:r>
              <w:rPr>
                <w:rFonts w:hint="eastAsia" w:ascii="方正仿宋简体" w:hAnsi="方正仿宋简体" w:eastAsia="方正仿宋简体" w:cs="方正仿宋简体"/>
                <w:sz w:val="22"/>
                <w:szCs w:val="22"/>
                <w:lang w:val="en-US" w:eastAsia="zh-CN"/>
              </w:rPr>
              <w:t>的规定对其进行处罚。</w:t>
            </w:r>
          </w:p>
        </w:tc>
      </w:tr>
      <w:tr w14:paraId="51522EC3">
        <w:tblPrEx>
          <w:tblCellMar>
            <w:top w:w="0" w:type="dxa"/>
            <w:left w:w="0" w:type="dxa"/>
            <w:bottom w:w="0" w:type="dxa"/>
            <w:right w:w="0" w:type="dxa"/>
          </w:tblCellMar>
        </w:tblPrEx>
        <w:trPr>
          <w:trHeight w:val="97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7AB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处罚结果</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0E84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both"/>
              <w:textAlignment w:val="center"/>
              <w:rPr>
                <w:rFonts w:hint="eastAsia"/>
                <w:sz w:val="20"/>
                <w:szCs w:val="22"/>
                <w:lang w:val="en-US" w:eastAsia="zh-CN"/>
              </w:rPr>
            </w:pPr>
            <w:r>
              <w:rPr>
                <w:rFonts w:hint="eastAsia" w:ascii="方正仿宋简体" w:hAnsi="方正仿宋简体" w:eastAsia="方正仿宋简体" w:cs="方正仿宋简体"/>
                <w:sz w:val="22"/>
                <w:szCs w:val="22"/>
                <w:lang w:val="en-US" w:eastAsia="zh-CN"/>
              </w:rPr>
              <w:t>对哈密奥发鑫源化工有限责任公司给予警告、责令限期整改，并处罚款3万元（大写：叁万元）；对其主要负责人给予警告，并处</w:t>
            </w:r>
            <w:r>
              <w:rPr>
                <w:rFonts w:hint="default" w:ascii="方正仿宋简体" w:hAnsi="方正仿宋简体" w:eastAsia="方正仿宋简体" w:cs="方正仿宋简体"/>
                <w:sz w:val="22"/>
                <w:szCs w:val="22"/>
                <w:lang w:val="en-US" w:eastAsia="zh-CN"/>
              </w:rPr>
              <w:t>罚款</w:t>
            </w:r>
            <w:r>
              <w:rPr>
                <w:rFonts w:hint="eastAsia" w:ascii="方正仿宋简体" w:hAnsi="方正仿宋简体" w:eastAsia="方正仿宋简体" w:cs="方正仿宋简体"/>
                <w:sz w:val="22"/>
                <w:szCs w:val="22"/>
                <w:lang w:val="en-US" w:eastAsia="zh-CN"/>
              </w:rPr>
              <w:t>2千元（大写：贰仟元）。</w:t>
            </w:r>
          </w:p>
        </w:tc>
      </w:tr>
      <w:tr w14:paraId="0350067D">
        <w:tblPrEx>
          <w:tblCellMar>
            <w:top w:w="0" w:type="dxa"/>
            <w:left w:w="0" w:type="dxa"/>
            <w:bottom w:w="0" w:type="dxa"/>
            <w:right w:w="0" w:type="dxa"/>
          </w:tblCellMar>
        </w:tblPrEx>
        <w:trPr>
          <w:trHeight w:val="507"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93E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行政相对人名称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B1B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哈密奥发鑫源化工有限责任公司</w:t>
            </w:r>
          </w:p>
        </w:tc>
      </w:tr>
      <w:tr w14:paraId="7C60CA92">
        <w:tblPrEx>
          <w:tblCellMar>
            <w:top w:w="0" w:type="dxa"/>
            <w:left w:w="0" w:type="dxa"/>
            <w:bottom w:w="0" w:type="dxa"/>
            <w:right w:w="0" w:type="dxa"/>
          </w:tblCellMar>
        </w:tblPrEx>
        <w:trPr>
          <w:trHeight w:val="45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50D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统一社会信用代码</w:t>
            </w:r>
          </w:p>
        </w:tc>
        <w:tc>
          <w:tcPr>
            <w:tcW w:w="6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8D4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default" w:ascii="方正仿宋简体" w:hAnsi="方正仿宋简体" w:eastAsia="方正仿宋简体" w:cs="方正仿宋简体"/>
                <w:sz w:val="22"/>
                <w:szCs w:val="22"/>
                <w:lang w:val="en-US" w:eastAsia="zh-CN"/>
              </w:rPr>
              <w:t>91652201676337578P</w:t>
            </w:r>
          </w:p>
        </w:tc>
      </w:tr>
      <w:tr w14:paraId="2654BF93">
        <w:tblPrEx>
          <w:tblCellMar>
            <w:top w:w="0" w:type="dxa"/>
            <w:left w:w="0" w:type="dxa"/>
            <w:bottom w:w="0" w:type="dxa"/>
            <w:right w:w="0" w:type="dxa"/>
          </w:tblCellMar>
        </w:tblPrEx>
        <w:trPr>
          <w:trHeight w:val="45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E0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法定代表人姓名</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6AC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焦文丽</w:t>
            </w:r>
          </w:p>
        </w:tc>
      </w:tr>
      <w:tr w14:paraId="2B65CB16">
        <w:tblPrEx>
          <w:tblCellMar>
            <w:top w:w="0" w:type="dxa"/>
            <w:left w:w="0" w:type="dxa"/>
            <w:bottom w:w="0" w:type="dxa"/>
            <w:right w:w="0" w:type="dxa"/>
          </w:tblCellMar>
        </w:tblPrEx>
        <w:trPr>
          <w:trHeight w:val="501"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308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处罚决定日期</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A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2024年10月22日</w:t>
            </w:r>
          </w:p>
        </w:tc>
      </w:tr>
    </w:tbl>
    <w:p w14:paraId="61A983AB">
      <w:pPr>
        <w:keepNext w:val="0"/>
        <w:keepLines w:val="0"/>
        <w:pageBreakBefore w:val="0"/>
        <w:widowControl w:val="0"/>
        <w:kinsoku/>
        <w:wordWrap/>
        <w:overflowPunct/>
        <w:topLinePunct w:val="0"/>
        <w:autoSpaceDE/>
        <w:autoSpaceDN/>
        <w:bidi w:val="0"/>
        <w:adjustRightInd/>
        <w:snapToGrid/>
        <w:spacing w:line="340" w:lineRule="exact"/>
        <w:textAlignment w:val="auto"/>
        <w:rPr>
          <w:vanish w:val="0"/>
          <w:color w:val="auto"/>
          <w:sz w:val="21"/>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ZjExNTUzMmU3NWEzZjQzMThiYTUxNmU2NzY2OTkifQ=="/>
  </w:docVars>
  <w:rsids>
    <w:rsidRoot w:val="00000000"/>
    <w:rsid w:val="011A18A1"/>
    <w:rsid w:val="01DD59FB"/>
    <w:rsid w:val="03402FE8"/>
    <w:rsid w:val="04812A73"/>
    <w:rsid w:val="05056D9E"/>
    <w:rsid w:val="0622458C"/>
    <w:rsid w:val="080B4BCD"/>
    <w:rsid w:val="08D631A4"/>
    <w:rsid w:val="0B220922"/>
    <w:rsid w:val="0BE464AC"/>
    <w:rsid w:val="0C4F3999"/>
    <w:rsid w:val="0DD26630"/>
    <w:rsid w:val="0DDA3736"/>
    <w:rsid w:val="0E9B2EC6"/>
    <w:rsid w:val="0EA04652"/>
    <w:rsid w:val="102C5831"/>
    <w:rsid w:val="126807AF"/>
    <w:rsid w:val="134A6C68"/>
    <w:rsid w:val="135D2E40"/>
    <w:rsid w:val="146317D4"/>
    <w:rsid w:val="1CDB07AC"/>
    <w:rsid w:val="1CE71497"/>
    <w:rsid w:val="1DDB7AD7"/>
    <w:rsid w:val="1E872CF1"/>
    <w:rsid w:val="210B63F6"/>
    <w:rsid w:val="21A21EE6"/>
    <w:rsid w:val="22B14836"/>
    <w:rsid w:val="230403D0"/>
    <w:rsid w:val="247A6D09"/>
    <w:rsid w:val="27594FDF"/>
    <w:rsid w:val="29BB3FC4"/>
    <w:rsid w:val="2B4C1B6E"/>
    <w:rsid w:val="2CD626BC"/>
    <w:rsid w:val="313A6116"/>
    <w:rsid w:val="3330157F"/>
    <w:rsid w:val="341E3ACD"/>
    <w:rsid w:val="35554251"/>
    <w:rsid w:val="36D6243D"/>
    <w:rsid w:val="38286ACC"/>
    <w:rsid w:val="391C2754"/>
    <w:rsid w:val="3B9E3980"/>
    <w:rsid w:val="3C025A83"/>
    <w:rsid w:val="3D4F6AA6"/>
    <w:rsid w:val="40195A39"/>
    <w:rsid w:val="401A659F"/>
    <w:rsid w:val="435B61A4"/>
    <w:rsid w:val="457E617A"/>
    <w:rsid w:val="45872044"/>
    <w:rsid w:val="46F81F5C"/>
    <w:rsid w:val="477136AE"/>
    <w:rsid w:val="47CE6325"/>
    <w:rsid w:val="49AC7F4E"/>
    <w:rsid w:val="49FE5ADB"/>
    <w:rsid w:val="4B716020"/>
    <w:rsid w:val="4CD51A8F"/>
    <w:rsid w:val="4EAF34D1"/>
    <w:rsid w:val="4EFD2805"/>
    <w:rsid w:val="4FE17A31"/>
    <w:rsid w:val="50333537"/>
    <w:rsid w:val="523E1829"/>
    <w:rsid w:val="52A511EA"/>
    <w:rsid w:val="531B0C60"/>
    <w:rsid w:val="576D24F2"/>
    <w:rsid w:val="58D17048"/>
    <w:rsid w:val="5AA75D1B"/>
    <w:rsid w:val="5BC26220"/>
    <w:rsid w:val="5C6F4A19"/>
    <w:rsid w:val="5C912628"/>
    <w:rsid w:val="5D216FDE"/>
    <w:rsid w:val="5DD72473"/>
    <w:rsid w:val="5DE93B9D"/>
    <w:rsid w:val="5FC20EFB"/>
    <w:rsid w:val="60C16521"/>
    <w:rsid w:val="60F53CD0"/>
    <w:rsid w:val="61DA0784"/>
    <w:rsid w:val="63214694"/>
    <w:rsid w:val="63312626"/>
    <w:rsid w:val="63C94B3F"/>
    <w:rsid w:val="66BC2B4E"/>
    <w:rsid w:val="66F57243"/>
    <w:rsid w:val="69970DFC"/>
    <w:rsid w:val="6A5167DD"/>
    <w:rsid w:val="6A5E63F6"/>
    <w:rsid w:val="6A902328"/>
    <w:rsid w:val="6B482C03"/>
    <w:rsid w:val="6BA73F43"/>
    <w:rsid w:val="6BB920B8"/>
    <w:rsid w:val="6DD1434D"/>
    <w:rsid w:val="6E511DCE"/>
    <w:rsid w:val="6ED4001E"/>
    <w:rsid w:val="6F927015"/>
    <w:rsid w:val="76F52177"/>
    <w:rsid w:val="7750356B"/>
    <w:rsid w:val="77FB679B"/>
    <w:rsid w:val="7B486939"/>
    <w:rsid w:val="7C3074C7"/>
    <w:rsid w:val="7ED9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宋体"/>
      <w:sz w:val="3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0"/>
    <w:pPr>
      <w:spacing w:after="120" w:line="480" w:lineRule="auto"/>
    </w:pPr>
  </w:style>
  <w:style w:type="paragraph" w:styleId="5">
    <w:name w:val="Body Text First Indent"/>
    <w:basedOn w:val="3"/>
    <w:qFormat/>
    <w:uiPriority w:val="0"/>
  </w:style>
  <w:style w:type="paragraph" w:styleId="6">
    <w:name w:val="Body Text First Indent 2"/>
    <w:basedOn w:val="1"/>
    <w:next w:val="5"/>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843</Characters>
  <Lines>0</Lines>
  <Paragraphs>0</Paragraphs>
  <TotalTime>0</TotalTime>
  <ScaleCrop>false</ScaleCrop>
  <LinksUpToDate>false</LinksUpToDate>
  <CharactersWithSpaces>847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2023-04-19T07:49:00Z</dcterms:created>
  <dc:creator>Administrator</dc:creator>
  <cp:lastModifiedBy>洁洁汪</cp:lastModifiedBy>
  <dcterms:modified xsi:type="dcterms:W3CDTF">2024-10-24T09:31:25Z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7A469CB2D48044ABA8227349D71770A5_12</vt:lpwstr>
  </property>
</Properties>
</file>