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C2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ascii="微软雅黑" w:hAnsi="微软雅黑" w:eastAsia="微软雅黑" w:cs="微软雅黑"/>
          <w:b w:val="0"/>
          <w:bCs/>
          <w:i w:val="0"/>
          <w:caps w:val="0"/>
          <w:color w:val="auto"/>
          <w:spacing w:val="0"/>
          <w:sz w:val="36"/>
          <w:szCs w:val="36"/>
        </w:rPr>
      </w:pPr>
      <w:r>
        <w:rPr>
          <w:rFonts w:hint="eastAsia" w:ascii="微软雅黑" w:hAnsi="微软雅黑" w:eastAsia="微软雅黑" w:cs="微软雅黑"/>
          <w:b w:val="0"/>
          <w:bCs/>
          <w:i w:val="0"/>
          <w:caps w:val="0"/>
          <w:color w:val="auto"/>
          <w:spacing w:val="0"/>
          <w:kern w:val="0"/>
          <w:sz w:val="36"/>
          <w:szCs w:val="36"/>
          <w:lang w:val="en-US" w:eastAsia="zh-CN" w:bidi="ar"/>
        </w:rPr>
        <w:t>第十三师应急管理局</w:t>
      </w:r>
      <w:r>
        <w:rPr>
          <w:rFonts w:ascii="微软雅黑" w:hAnsi="微软雅黑" w:eastAsia="微软雅黑" w:cs="微软雅黑"/>
          <w:b w:val="0"/>
          <w:bCs/>
          <w:i w:val="0"/>
          <w:caps w:val="0"/>
          <w:color w:val="auto"/>
          <w:spacing w:val="0"/>
          <w:sz w:val="36"/>
          <w:szCs w:val="36"/>
        </w:rPr>
        <w:t>行政处罚案件信息公开表</w:t>
      </w:r>
    </w:p>
    <w:p w14:paraId="0420F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hint="default" w:ascii="微软雅黑" w:hAnsi="微软雅黑" w:eastAsia="微软雅黑" w:cs="微软雅黑"/>
          <w:b w:val="0"/>
          <w:bCs/>
          <w:i w:val="0"/>
          <w:caps w:val="0"/>
          <w:color w:val="auto"/>
          <w:spacing w:val="0"/>
          <w:kern w:val="0"/>
          <w:sz w:val="36"/>
          <w:szCs w:val="36"/>
          <w:lang w:val="en-US" w:eastAsia="zh-CN" w:bidi="ar"/>
        </w:rPr>
      </w:pPr>
      <w:r>
        <w:rPr>
          <w:rFonts w:hint="eastAsia" w:ascii="微软雅黑" w:hAnsi="微软雅黑" w:eastAsia="微软雅黑" w:cs="微软雅黑"/>
          <w:b w:val="0"/>
          <w:bCs/>
          <w:i w:val="0"/>
          <w:caps w:val="0"/>
          <w:color w:val="auto"/>
          <w:spacing w:val="0"/>
          <w:kern w:val="0"/>
          <w:sz w:val="36"/>
          <w:szCs w:val="36"/>
          <w:lang w:val="en-US" w:eastAsia="zh-CN" w:bidi="ar"/>
        </w:rPr>
        <w:t xml:space="preserve">（2024年第13期）  </w:t>
      </w:r>
    </w:p>
    <w:p w14:paraId="4DD9EB57">
      <w:pPr>
        <w:pStyle w:val="6"/>
        <w:rPr>
          <w:rFonts w:hint="eastAsia"/>
          <w:color w:val="auto"/>
          <w:lang w:val="en-US" w:eastAsia="zh-CN"/>
        </w:rPr>
      </w:pPr>
    </w:p>
    <w:tbl>
      <w:tblPr>
        <w:tblStyle w:val="7"/>
        <w:tblW w:w="0" w:type="auto"/>
        <w:tblInd w:w="0" w:type="dxa"/>
        <w:tblLayout w:type="fixed"/>
        <w:tblCellMar>
          <w:top w:w="0" w:type="dxa"/>
          <w:left w:w="0" w:type="dxa"/>
          <w:bottom w:w="0" w:type="dxa"/>
          <w:right w:w="0" w:type="dxa"/>
        </w:tblCellMar>
      </w:tblPr>
      <w:tblGrid>
        <w:gridCol w:w="2786"/>
        <w:gridCol w:w="6794"/>
      </w:tblGrid>
      <w:tr w14:paraId="2F5693D3">
        <w:tblPrEx>
          <w:tblCellMar>
            <w:top w:w="0" w:type="dxa"/>
            <w:left w:w="0" w:type="dxa"/>
            <w:bottom w:w="0" w:type="dxa"/>
            <w:right w:w="0" w:type="dxa"/>
          </w:tblCellMar>
        </w:tblPrEx>
        <w:trPr>
          <w:trHeight w:val="918" w:hRule="atLeast"/>
        </w:trPr>
        <w:tc>
          <w:tcPr>
            <w:tcW w:w="9580" w:type="dxa"/>
            <w:gridSpan w:val="2"/>
            <w:tcBorders>
              <w:top w:val="nil"/>
              <w:left w:val="nil"/>
              <w:bottom w:val="nil"/>
              <w:right w:val="nil"/>
            </w:tcBorders>
            <w:noWrap/>
            <w:tcMar>
              <w:top w:w="15" w:type="dxa"/>
              <w:left w:w="15" w:type="dxa"/>
              <w:right w:w="15" w:type="dxa"/>
            </w:tcMar>
            <w:vAlign w:val="center"/>
          </w:tcPr>
          <w:p w14:paraId="68EBDF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第十三师安全生产行政处罚公示（师应急案〔2024〕WH07号）</w:t>
            </w:r>
          </w:p>
        </w:tc>
      </w:tr>
      <w:tr w14:paraId="50620B82">
        <w:tblPrEx>
          <w:tblCellMar>
            <w:top w:w="0" w:type="dxa"/>
            <w:left w:w="0" w:type="dxa"/>
            <w:bottom w:w="0" w:type="dxa"/>
            <w:right w:w="0" w:type="dxa"/>
          </w:tblCellMar>
        </w:tblPrEx>
        <w:trPr>
          <w:trHeight w:val="207" w:hRule="atLeast"/>
        </w:trPr>
        <w:tc>
          <w:tcPr>
            <w:tcW w:w="9580" w:type="dxa"/>
            <w:gridSpan w:val="2"/>
            <w:tcBorders>
              <w:top w:val="nil"/>
              <w:left w:val="nil"/>
              <w:bottom w:val="nil"/>
              <w:right w:val="nil"/>
            </w:tcBorders>
            <w:noWrap/>
            <w:tcMar>
              <w:top w:w="15" w:type="dxa"/>
              <w:left w:w="15" w:type="dxa"/>
              <w:right w:w="15" w:type="dxa"/>
            </w:tcMar>
            <w:vAlign w:val="center"/>
          </w:tcPr>
          <w:p w14:paraId="3E60D7B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宋体" w:cs="宋体"/>
                <w:i w:val="0"/>
                <w:color w:val="auto"/>
                <w:sz w:val="24"/>
                <w:szCs w:val="24"/>
                <w:u w:val="none"/>
              </w:rPr>
            </w:pPr>
          </w:p>
        </w:tc>
      </w:tr>
      <w:tr w14:paraId="7BD6C060">
        <w:tblPrEx>
          <w:tblCellMar>
            <w:top w:w="0" w:type="dxa"/>
            <w:left w:w="0" w:type="dxa"/>
            <w:bottom w:w="0" w:type="dxa"/>
            <w:right w:w="0" w:type="dxa"/>
          </w:tblCellMar>
        </w:tblPrEx>
        <w:trPr>
          <w:trHeight w:val="74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533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处罚决定文号</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F51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2"/>
                <w:szCs w:val="22"/>
                <w:lang w:val="en-US" w:eastAsia="zh-CN"/>
              </w:rPr>
            </w:pPr>
            <w:r>
              <w:rPr>
                <w:rFonts w:hint="default" w:ascii="Times New Roman" w:hAnsi="Times New Roman" w:eastAsia="方正仿宋简体" w:cs="Times New Roman"/>
                <w:sz w:val="24"/>
                <w:szCs w:val="24"/>
              </w:rPr>
              <w:t>（</w:t>
            </w:r>
            <w:r>
              <w:rPr>
                <w:rFonts w:hint="default" w:ascii="Times New Roman" w:hAnsi="Times New Roman" w:eastAsia="方正仿宋简体" w:cs="Times New Roman"/>
                <w:sz w:val="24"/>
                <w:szCs w:val="24"/>
                <w:lang w:eastAsia="zh-CN"/>
              </w:rPr>
              <w:t>十三师</w:t>
            </w:r>
            <w:r>
              <w:rPr>
                <w:rFonts w:hint="default" w:ascii="Times New Roman" w:hAnsi="Times New Roman" w:eastAsia="方正仿宋简体" w:cs="Times New Roman"/>
                <w:sz w:val="24"/>
                <w:szCs w:val="24"/>
              </w:rPr>
              <w:t>）应急罚</w:t>
            </w:r>
            <w:r>
              <w:rPr>
                <w:rFonts w:hint="default" w:ascii="Times New Roman" w:hAnsi="Times New Roman" w:eastAsia="方正仿宋简体" w:cs="Times New Roman"/>
                <w:sz w:val="24"/>
                <w:szCs w:val="24"/>
                <w:lang w:eastAsia="zh-CN"/>
              </w:rPr>
              <w:t>〔202</w:t>
            </w: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WH</w:t>
            </w:r>
            <w:r>
              <w:rPr>
                <w:rFonts w:hint="default" w:ascii="Times New Roman" w:hAnsi="Times New Roman" w:eastAsia="方正仿宋简体" w:cs="Times New Roman"/>
                <w:sz w:val="24"/>
                <w:szCs w:val="24"/>
                <w:lang w:eastAsia="zh-CN"/>
              </w:rPr>
              <w:t>0</w:t>
            </w:r>
            <w:r>
              <w:rPr>
                <w:rFonts w:hint="eastAsia" w:eastAsia="方正仿宋简体" w:cs="Times New Roman"/>
                <w:sz w:val="24"/>
                <w:szCs w:val="24"/>
                <w:lang w:val="en-US" w:eastAsia="zh-CN"/>
              </w:rPr>
              <w:t>7</w:t>
            </w:r>
            <w:r>
              <w:rPr>
                <w:rFonts w:hint="default" w:ascii="Times New Roman" w:hAnsi="Times New Roman" w:eastAsia="方正仿宋简体" w:cs="Times New Roman"/>
                <w:sz w:val="24"/>
                <w:szCs w:val="24"/>
                <w:lang w:eastAsia="zh-CN"/>
              </w:rPr>
              <w:t>号</w:t>
            </w:r>
          </w:p>
        </w:tc>
      </w:tr>
      <w:tr w14:paraId="078B4CD8">
        <w:tblPrEx>
          <w:tblCellMar>
            <w:top w:w="0" w:type="dxa"/>
            <w:left w:w="0" w:type="dxa"/>
            <w:bottom w:w="0" w:type="dxa"/>
            <w:right w:w="0" w:type="dxa"/>
          </w:tblCellMar>
        </w:tblPrEx>
        <w:trPr>
          <w:trHeight w:val="52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005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处罚名称</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BB5A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哈密茂坤能源科技有限责任公司特殊作业未安排专门人员进行现场安全管理等行政处罚案</w:t>
            </w:r>
          </w:p>
        </w:tc>
      </w:tr>
      <w:tr w14:paraId="7C10C9A7">
        <w:tblPrEx>
          <w:tblCellMar>
            <w:top w:w="0" w:type="dxa"/>
            <w:left w:w="0" w:type="dxa"/>
            <w:bottom w:w="0" w:type="dxa"/>
            <w:right w:w="0" w:type="dxa"/>
          </w:tblCellMar>
        </w:tblPrEx>
        <w:trPr>
          <w:trHeight w:val="57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0B2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处罚类别</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56B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给与责令限期改正、并处罚款。</w:t>
            </w:r>
          </w:p>
        </w:tc>
      </w:tr>
      <w:tr w14:paraId="4F61A320">
        <w:tblPrEx>
          <w:tblCellMar>
            <w:top w:w="0" w:type="dxa"/>
            <w:left w:w="0" w:type="dxa"/>
            <w:bottom w:w="0" w:type="dxa"/>
            <w:right w:w="0" w:type="dxa"/>
          </w:tblCellMar>
        </w:tblPrEx>
        <w:trPr>
          <w:trHeight w:val="1362"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8EF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违法事实</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A4D3C">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2024 年10月2日，应急管理局会同工信局、交通运输局、淖毛湖经开区对哈密茂坤能源科技有限责任公司开展国庆期间安全检察，检查组通过查阅资料、现场检查等方式，查出该企业存在动火作业未安排专门人员进行现场安全管理，未采取措施消除事故隐患等安全隐患。</w:t>
            </w:r>
            <w:bookmarkStart w:id="0" w:name="_GoBack"/>
            <w:bookmarkEnd w:id="0"/>
          </w:p>
        </w:tc>
      </w:tr>
      <w:tr w14:paraId="6D37EDFD">
        <w:tblPrEx>
          <w:tblCellMar>
            <w:top w:w="0" w:type="dxa"/>
            <w:left w:w="0" w:type="dxa"/>
            <w:bottom w:w="0" w:type="dxa"/>
            <w:right w:w="0" w:type="dxa"/>
          </w:tblCellMar>
        </w:tblPrEx>
        <w:trPr>
          <w:trHeight w:val="127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8F6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处罚依据</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5BAE9">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哈密茂坤能源科技有限责任公司涉嫌违反《中华人民共和国安全生产法》第四十一条第二款、第四十三条的规定，依据《中华人民共和国安全生产法》第一百零一条第三项，第一百零二条，《新疆维吾尔自治区应急管理系统行政处罚自由裁量基准》40.5.5、49.5.1的规定，应当给予处罚。</w:t>
            </w:r>
          </w:p>
          <w:p w14:paraId="311C6A7C">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default" w:ascii="方正仿宋简体" w:hAnsi="方正仿宋简体" w:eastAsia="方正仿宋简体" w:cs="方正仿宋简体"/>
                <w:sz w:val="22"/>
                <w:szCs w:val="22"/>
                <w:lang w:val="en-US" w:eastAsia="zh-CN"/>
              </w:rPr>
            </w:pPr>
          </w:p>
        </w:tc>
      </w:tr>
      <w:tr w14:paraId="51522EC3">
        <w:tblPrEx>
          <w:tblCellMar>
            <w:top w:w="0" w:type="dxa"/>
            <w:left w:w="0" w:type="dxa"/>
            <w:bottom w:w="0" w:type="dxa"/>
            <w:right w:w="0" w:type="dxa"/>
          </w:tblCellMar>
        </w:tblPrEx>
        <w:trPr>
          <w:trHeight w:val="1024"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7AB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处罚结果</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FC676">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对哈密茂坤能源科技有限责任公司责令限期整改并处以人民币 12万元整（¥120000元）罚款的行政处罚。</w:t>
            </w:r>
          </w:p>
          <w:p w14:paraId="104AC72B">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方正仿宋简体" w:hAnsi="方正仿宋简体" w:eastAsia="方正仿宋简体" w:cs="方正仿宋简体"/>
                <w:sz w:val="22"/>
                <w:szCs w:val="22"/>
                <w:lang w:val="en-US" w:eastAsia="zh-CN"/>
              </w:rPr>
            </w:pPr>
          </w:p>
          <w:p w14:paraId="19FE46BE">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方正仿宋简体" w:hAnsi="方正仿宋简体" w:eastAsia="方正仿宋简体" w:cs="方正仿宋简体"/>
                <w:sz w:val="22"/>
                <w:szCs w:val="22"/>
                <w:lang w:val="en-US" w:eastAsia="zh-CN"/>
              </w:rPr>
            </w:pPr>
          </w:p>
        </w:tc>
      </w:tr>
      <w:tr w14:paraId="0350067D">
        <w:tblPrEx>
          <w:tblCellMar>
            <w:top w:w="0" w:type="dxa"/>
            <w:left w:w="0" w:type="dxa"/>
            <w:bottom w:w="0" w:type="dxa"/>
            <w:right w:w="0" w:type="dxa"/>
          </w:tblCellMar>
        </w:tblPrEx>
        <w:trPr>
          <w:trHeight w:val="507"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93E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行政相对人名称</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B1B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哈密茂坤能源科技有限责任公司</w:t>
            </w:r>
          </w:p>
        </w:tc>
      </w:tr>
      <w:tr w14:paraId="7C60CA92">
        <w:tblPrEx>
          <w:tblCellMar>
            <w:top w:w="0" w:type="dxa"/>
            <w:left w:w="0" w:type="dxa"/>
            <w:bottom w:w="0" w:type="dxa"/>
            <w:right w:w="0" w:type="dxa"/>
          </w:tblCellMar>
        </w:tblPrEx>
        <w:trPr>
          <w:trHeight w:val="45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50D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统一社会信用代码</w:t>
            </w:r>
          </w:p>
        </w:tc>
        <w:tc>
          <w:tcPr>
            <w:tcW w:w="6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8D4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简体" w:hAnsi="方正仿宋简体" w:eastAsia="方正仿宋简体" w:cs="方正仿宋简体"/>
                <w:sz w:val="22"/>
                <w:szCs w:val="22"/>
                <w:lang w:val="en-US" w:eastAsia="zh-CN"/>
              </w:rPr>
            </w:pPr>
            <w:r>
              <w:rPr>
                <w:rFonts w:hint="default" w:ascii="方正仿宋简体" w:hAnsi="方正仿宋简体" w:eastAsia="方正仿宋简体" w:cs="方正仿宋简体"/>
                <w:sz w:val="22"/>
                <w:szCs w:val="22"/>
                <w:lang w:val="en-US" w:eastAsia="zh-CN"/>
              </w:rPr>
              <w:t>9165</w:t>
            </w:r>
            <w:r>
              <w:rPr>
                <w:rFonts w:hint="eastAsia" w:ascii="方正仿宋简体" w:hAnsi="方正仿宋简体" w:eastAsia="方正仿宋简体" w:cs="方正仿宋简体"/>
                <w:sz w:val="22"/>
                <w:szCs w:val="22"/>
                <w:lang w:val="en-US" w:eastAsia="zh-CN"/>
              </w:rPr>
              <w:t>9040MA78PXD49E</w:t>
            </w:r>
          </w:p>
        </w:tc>
      </w:tr>
      <w:tr w14:paraId="2654BF93">
        <w:tblPrEx>
          <w:tblCellMar>
            <w:top w:w="0" w:type="dxa"/>
            <w:left w:w="0" w:type="dxa"/>
            <w:bottom w:w="0" w:type="dxa"/>
            <w:right w:w="0" w:type="dxa"/>
          </w:tblCellMar>
        </w:tblPrEx>
        <w:trPr>
          <w:trHeight w:val="45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E01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法定代表人姓名</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6AC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任建</w:t>
            </w:r>
          </w:p>
        </w:tc>
      </w:tr>
      <w:tr w14:paraId="2B65CB16">
        <w:tblPrEx>
          <w:tblCellMar>
            <w:top w:w="0" w:type="dxa"/>
            <w:left w:w="0" w:type="dxa"/>
            <w:bottom w:w="0" w:type="dxa"/>
            <w:right w:w="0" w:type="dxa"/>
          </w:tblCellMar>
        </w:tblPrEx>
        <w:trPr>
          <w:trHeight w:val="501"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308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处罚决定日期</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AD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2024年10月24日</w:t>
            </w:r>
          </w:p>
        </w:tc>
      </w:tr>
    </w:tbl>
    <w:p w14:paraId="61A983AB">
      <w:pPr>
        <w:keepNext w:val="0"/>
        <w:keepLines w:val="0"/>
        <w:pageBreakBefore w:val="0"/>
        <w:widowControl w:val="0"/>
        <w:kinsoku/>
        <w:wordWrap/>
        <w:overflowPunct/>
        <w:topLinePunct w:val="0"/>
        <w:autoSpaceDE/>
        <w:autoSpaceDN/>
        <w:bidi w:val="0"/>
        <w:adjustRightInd/>
        <w:snapToGrid/>
        <w:spacing w:line="340" w:lineRule="exact"/>
        <w:textAlignment w:val="auto"/>
        <w:rPr>
          <w:vanish w:val="0"/>
          <w:color w:val="auto"/>
          <w:sz w:val="21"/>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49B43B-2ED8-4AB9-85C0-FBF0FC983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89487A-F625-4400-AB66-0298B8F83D8B}"/>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3" w:fontKey="{F3A65646-6D9D-4693-A3CD-F17DB5025B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2Q2YWRjMzIxOTcwYjEwYTE3M2Y3OWMwM2RkZjcifQ=="/>
  </w:docVars>
  <w:rsids>
    <w:rsidRoot w:val="00000000"/>
    <w:rsid w:val="011A18A1"/>
    <w:rsid w:val="01DD59FB"/>
    <w:rsid w:val="03402FE8"/>
    <w:rsid w:val="04812A73"/>
    <w:rsid w:val="05056D9E"/>
    <w:rsid w:val="05601675"/>
    <w:rsid w:val="0622458C"/>
    <w:rsid w:val="080B4BCD"/>
    <w:rsid w:val="08D631A4"/>
    <w:rsid w:val="0B220922"/>
    <w:rsid w:val="0BE464AC"/>
    <w:rsid w:val="0C4F3999"/>
    <w:rsid w:val="0DD26630"/>
    <w:rsid w:val="0DDA3736"/>
    <w:rsid w:val="0E9B2EC6"/>
    <w:rsid w:val="0EA04652"/>
    <w:rsid w:val="102C5831"/>
    <w:rsid w:val="126807AF"/>
    <w:rsid w:val="134A6C68"/>
    <w:rsid w:val="135D2E40"/>
    <w:rsid w:val="146317D4"/>
    <w:rsid w:val="1CDB07AC"/>
    <w:rsid w:val="1CE71497"/>
    <w:rsid w:val="1DDB7AD7"/>
    <w:rsid w:val="1E872CF1"/>
    <w:rsid w:val="210B63F6"/>
    <w:rsid w:val="21A21EE6"/>
    <w:rsid w:val="22B14836"/>
    <w:rsid w:val="230403D0"/>
    <w:rsid w:val="247A6D09"/>
    <w:rsid w:val="254F0D0A"/>
    <w:rsid w:val="27594FDF"/>
    <w:rsid w:val="29BB3FC4"/>
    <w:rsid w:val="2B4C1B6E"/>
    <w:rsid w:val="2CD626BC"/>
    <w:rsid w:val="313A6116"/>
    <w:rsid w:val="3330157F"/>
    <w:rsid w:val="341E3ACD"/>
    <w:rsid w:val="35554251"/>
    <w:rsid w:val="36D6243D"/>
    <w:rsid w:val="38286ACC"/>
    <w:rsid w:val="391C2754"/>
    <w:rsid w:val="3B9E3980"/>
    <w:rsid w:val="3C025A83"/>
    <w:rsid w:val="3D4F6AA6"/>
    <w:rsid w:val="40195A39"/>
    <w:rsid w:val="401A659F"/>
    <w:rsid w:val="435B61A4"/>
    <w:rsid w:val="457E617A"/>
    <w:rsid w:val="45872044"/>
    <w:rsid w:val="46F81F5C"/>
    <w:rsid w:val="477136AE"/>
    <w:rsid w:val="47CE6325"/>
    <w:rsid w:val="49AC7F4E"/>
    <w:rsid w:val="49FE5ADB"/>
    <w:rsid w:val="4B716020"/>
    <w:rsid w:val="4CD51A8F"/>
    <w:rsid w:val="4EAF34D1"/>
    <w:rsid w:val="4EFD2805"/>
    <w:rsid w:val="4FE17A31"/>
    <w:rsid w:val="50333537"/>
    <w:rsid w:val="523E1829"/>
    <w:rsid w:val="52A511EA"/>
    <w:rsid w:val="531B0C60"/>
    <w:rsid w:val="576D24F2"/>
    <w:rsid w:val="58D17048"/>
    <w:rsid w:val="5AA75D1B"/>
    <w:rsid w:val="5BC26220"/>
    <w:rsid w:val="5C6F4A19"/>
    <w:rsid w:val="5C912628"/>
    <w:rsid w:val="5D216FDE"/>
    <w:rsid w:val="5DD72473"/>
    <w:rsid w:val="5DE93B9D"/>
    <w:rsid w:val="5FC20EFB"/>
    <w:rsid w:val="60C16521"/>
    <w:rsid w:val="60F53CD0"/>
    <w:rsid w:val="61DA0784"/>
    <w:rsid w:val="63214694"/>
    <w:rsid w:val="63312626"/>
    <w:rsid w:val="63C94B3F"/>
    <w:rsid w:val="66BC2B4E"/>
    <w:rsid w:val="66F57243"/>
    <w:rsid w:val="69970DFC"/>
    <w:rsid w:val="6A170E88"/>
    <w:rsid w:val="6A5167DD"/>
    <w:rsid w:val="6A5E63F6"/>
    <w:rsid w:val="6A902328"/>
    <w:rsid w:val="6B482C03"/>
    <w:rsid w:val="6BA73F43"/>
    <w:rsid w:val="6BB920B8"/>
    <w:rsid w:val="6DD1434D"/>
    <w:rsid w:val="6E511DCE"/>
    <w:rsid w:val="6ED4001E"/>
    <w:rsid w:val="6F927015"/>
    <w:rsid w:val="76F52177"/>
    <w:rsid w:val="7750356B"/>
    <w:rsid w:val="77FB679B"/>
    <w:rsid w:val="7B486939"/>
    <w:rsid w:val="7C3074C7"/>
    <w:rsid w:val="7ED9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宋体"/>
      <w:sz w:val="3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0"/>
    <w:pPr>
      <w:spacing w:after="120" w:line="480" w:lineRule="auto"/>
    </w:pPr>
  </w:style>
  <w:style w:type="paragraph" w:styleId="5">
    <w:name w:val="Body Text First Indent"/>
    <w:basedOn w:val="3"/>
    <w:qFormat/>
    <w:uiPriority w:val="0"/>
  </w:style>
  <w:style w:type="paragraph" w:styleId="6">
    <w:name w:val="Body Text First Indent 2"/>
    <w:basedOn w:val="1"/>
    <w:next w:val="5"/>
    <w:qFormat/>
    <w:uiPriority w:val="0"/>
    <w:pPr>
      <w:spacing w:after="120"/>
      <w:ind w:left="420" w:leftChars="200" w:firstLine="420" w:firstLineChars="200"/>
    </w:pPr>
  </w:style>
  <w:style w:type="paragraph" w:customStyle="1" w:styleId="9">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540</Characters>
  <Lines>0</Lines>
  <Paragraphs>0</Paragraphs>
  <TotalTime>3</TotalTime>
  <ScaleCrop>false</ScaleCrop>
  <LinksUpToDate>false</LinksUpToDate>
  <CharactersWithSpaces>544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2023-04-19T07:49:00Z</dcterms:created>
  <dc:creator>Administrator</dc:creator>
  <cp:lastModifiedBy>微尘</cp:lastModifiedBy>
  <dcterms:modified xsi:type="dcterms:W3CDTF">2024-10-29T10:55:33Z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7A469CB2D48044ABA8227349D71770A5_12</vt:lpwstr>
  </property>
</Properties>
</file>