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3249EA">
      <w:pPr>
        <w:pStyle w:val="2"/>
        <w:spacing w:after="0" w:line="560" w:lineRule="exact"/>
        <w:jc w:val="center"/>
        <w:rPr>
          <w:rFonts w:hint="default" w:ascii="Times New Roman" w:hAnsi="Times New Roman" w:eastAsia="方正小标宋简体" w:cs="Times New Roman"/>
          <w:bCs/>
          <w:color w:val="000000" w:themeColor="text1"/>
          <w:sz w:val="44"/>
          <w:szCs w:val="44"/>
        </w:rPr>
      </w:pPr>
      <w:r>
        <w:rPr>
          <w:rFonts w:hint="default" w:ascii="Times New Roman" w:hAnsi="Times New Roman" w:eastAsia="方正小标宋简体" w:cs="Times New Roman"/>
          <w:bCs/>
          <w:color w:val="000000" w:themeColor="text1"/>
          <w:sz w:val="44"/>
          <w:szCs w:val="44"/>
        </w:rPr>
        <w:t>十三师新星市再生水使用管理办法</w:t>
      </w:r>
    </w:p>
    <w:p w14:paraId="04F6597D">
      <w:pPr>
        <w:pStyle w:val="2"/>
        <w:spacing w:after="0" w:line="560" w:lineRule="exact"/>
        <w:jc w:val="center"/>
        <w:rPr>
          <w:rFonts w:hint="default" w:ascii="Times New Roman" w:hAnsi="Times New Roman" w:eastAsia="方正楷体简体" w:cs="Times New Roman"/>
          <w:color w:val="000000" w:themeColor="text1"/>
          <w:sz w:val="32"/>
          <w:szCs w:val="32"/>
        </w:rPr>
      </w:pPr>
      <w:r>
        <w:rPr>
          <w:rFonts w:hint="default" w:ascii="Times New Roman" w:hAnsi="Times New Roman" w:eastAsia="方正楷体简体" w:cs="Times New Roman"/>
          <w:bCs/>
          <w:color w:val="000000" w:themeColor="text1"/>
          <w:sz w:val="32"/>
          <w:szCs w:val="32"/>
        </w:rPr>
        <w:t>（</w:t>
      </w:r>
      <w:r>
        <w:rPr>
          <w:rFonts w:hint="eastAsia" w:ascii="Times New Roman" w:hAnsi="Times New Roman" w:eastAsia="方正楷体简体" w:cs="Times New Roman"/>
          <w:bCs/>
          <w:color w:val="000000" w:themeColor="text1"/>
          <w:sz w:val="32"/>
          <w:szCs w:val="32"/>
          <w:lang w:val="en-US" w:eastAsia="zh-CN"/>
        </w:rPr>
        <w:t>征求意见稿</w:t>
      </w:r>
      <w:r>
        <w:rPr>
          <w:rFonts w:hint="default" w:ascii="Times New Roman" w:hAnsi="Times New Roman" w:eastAsia="方正楷体简体" w:cs="Times New Roman"/>
          <w:bCs/>
          <w:color w:val="000000" w:themeColor="text1"/>
          <w:sz w:val="32"/>
          <w:szCs w:val="32"/>
        </w:rPr>
        <w:t>）</w:t>
      </w:r>
    </w:p>
    <w:p w14:paraId="3A49DBBE">
      <w:pPr>
        <w:pStyle w:val="3"/>
        <w:spacing w:before="0" w:beforeAutospacing="0" w:after="0" w:afterAutospacing="0" w:line="560" w:lineRule="exact"/>
        <w:ind w:firstLine="640" w:firstLineChars="200"/>
        <w:jc w:val="both"/>
        <w:textAlignment w:val="baseline"/>
        <w:rPr>
          <w:rFonts w:hint="default" w:ascii="Times New Roman" w:hAnsi="Times New Roman" w:eastAsia="方正黑体简体" w:cs="Times New Roman"/>
          <w:b w:val="0"/>
          <w:color w:val="000000" w:themeColor="text1"/>
          <w:sz w:val="32"/>
          <w:szCs w:val="32"/>
        </w:rPr>
      </w:pPr>
    </w:p>
    <w:p w14:paraId="4DC94FC1">
      <w:pPr>
        <w:pStyle w:val="3"/>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b w:val="0"/>
          <w:bCs w:val="0"/>
          <w:color w:val="000000" w:themeColor="text1"/>
          <w:kern w:val="0"/>
          <w:sz w:val="32"/>
          <w:szCs w:val="32"/>
          <w:lang w:val="en-US" w:eastAsia="zh-CN" w:bidi="ar-SA"/>
        </w:rPr>
      </w:pPr>
      <w:r>
        <w:rPr>
          <w:rFonts w:hint="default" w:ascii="Times New Roman" w:hAnsi="Times New Roman" w:eastAsia="方正黑体简体" w:cs="Times New Roman"/>
          <w:b w:val="0"/>
          <w:color w:val="000000" w:themeColor="text1"/>
          <w:sz w:val="32"/>
          <w:szCs w:val="32"/>
        </w:rPr>
        <w:t>第一条</w:t>
      </w:r>
      <w:r>
        <w:rPr>
          <w:rFonts w:hint="default" w:ascii="Times New Roman" w:hAnsi="Times New Roman" w:cs="Times New Roman" w:eastAsiaTheme="minorEastAsia"/>
          <w:color w:val="000000" w:themeColor="text1"/>
          <w:sz w:val="32"/>
          <w:szCs w:val="32"/>
        </w:rPr>
        <w:t xml:space="preserve"> </w:t>
      </w:r>
      <w:r>
        <w:rPr>
          <w:rFonts w:hint="eastAsia" w:ascii="方正仿宋简体" w:hAnsi="方正仿宋简体" w:eastAsia="方正仿宋简体" w:cs="方正仿宋简体"/>
          <w:b w:val="0"/>
          <w:bCs w:val="0"/>
          <w:sz w:val="32"/>
          <w:szCs w:val="32"/>
          <w:lang w:val="en-US" w:eastAsia="zh-CN"/>
        </w:rPr>
        <w:t>为加强十三师新星市再生水的利用管理，科学高效利用再生水资源，提高再生水利用率，保障再生水用户和再生水运营单位的合法权益，促进再生水事业健康发展，根据《中华人民共和国水法》《节约用水条例》《城镇排水与污水处理条例》《水利部 国家发展改革委关于加强非常规水源配置利用的指导意见》等有关规定，结合师市实际，制定本办法。</w:t>
      </w:r>
    </w:p>
    <w:p w14:paraId="5FC4444E">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方正黑体简体" w:cs="Times New Roman"/>
          <w:bCs/>
          <w:color w:val="000000" w:themeColor="text1"/>
          <w:sz w:val="32"/>
          <w:szCs w:val="32"/>
        </w:rPr>
        <w:t>第二条</w:t>
      </w:r>
      <w:r>
        <w:rPr>
          <w:rFonts w:hint="default" w:ascii="Times New Roman" w:hAnsi="Times New Roman" w:cs="Times New Roman" w:eastAsiaTheme="minorEastAsia"/>
          <w:color w:val="000000" w:themeColor="text1"/>
          <w:sz w:val="32"/>
          <w:szCs w:val="32"/>
        </w:rPr>
        <w:t xml:space="preserve"> </w:t>
      </w:r>
      <w:r>
        <w:rPr>
          <w:rFonts w:hint="default" w:ascii="Times New Roman" w:hAnsi="Times New Roman" w:eastAsia="方正仿宋简体" w:cs="Times New Roman"/>
          <w:color w:val="000000" w:themeColor="text1"/>
          <w:sz w:val="32"/>
          <w:szCs w:val="32"/>
        </w:rPr>
        <w:t>本办法适用于十三师新星市辖区内再生水规划、建设、使用、运营维护及其相关管理等活动。</w:t>
      </w:r>
    </w:p>
    <w:p w14:paraId="6A33354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第三条</w:t>
      </w:r>
      <w:r>
        <w:rPr>
          <w:rFonts w:hint="default" w:ascii="Times New Roman" w:hAnsi="Times New Roman" w:cs="Times New Roman" w:eastAsiaTheme="minorEastAsia"/>
          <w:color w:val="000000" w:themeColor="text1"/>
          <w:sz w:val="32"/>
          <w:szCs w:val="32"/>
        </w:rPr>
        <w:t xml:space="preserve"> </w:t>
      </w:r>
      <w:r>
        <w:rPr>
          <w:rFonts w:hint="default" w:ascii="Times New Roman" w:hAnsi="Times New Roman" w:eastAsia="方正仿宋简体" w:cs="Times New Roman"/>
          <w:color w:val="000000" w:themeColor="text1"/>
          <w:sz w:val="32"/>
          <w:szCs w:val="32"/>
        </w:rPr>
        <w:t>本办法所称再生水，是指城镇（工业园区）污水经适当再生工艺处理后，达到一定水质标准，满足某种使用功能要求，可以进行有益使用的水。</w:t>
      </w:r>
    </w:p>
    <w:p w14:paraId="52B7380E">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本办法所称再生水生产单位，是指将污水净化处理，达到国家排放标准可以回用的污水处理厂，以及对污水处理厂尾水进行深度处理的再生水</w:t>
      </w:r>
      <w:r>
        <w:rPr>
          <w:rFonts w:hint="default" w:ascii="Times New Roman" w:hAnsi="Times New Roman" w:eastAsia="方正仿宋简体" w:cs="Times New Roman"/>
          <w:color w:val="000000" w:themeColor="text1"/>
          <w:sz w:val="32"/>
          <w:szCs w:val="32"/>
          <w:lang w:val="en-US" w:eastAsia="zh-CN"/>
        </w:rPr>
        <w:t>水</w:t>
      </w:r>
      <w:r>
        <w:rPr>
          <w:rFonts w:hint="default" w:ascii="Times New Roman" w:hAnsi="Times New Roman" w:eastAsia="方正仿宋简体" w:cs="Times New Roman"/>
          <w:color w:val="000000" w:themeColor="text1"/>
          <w:sz w:val="32"/>
          <w:szCs w:val="32"/>
        </w:rPr>
        <w:t>厂。</w:t>
      </w:r>
    </w:p>
    <w:p w14:paraId="4FBE104C">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本办法所称再生水运营单位，是指依法取得特许经营权或运营管理权，对再生水设施设备进行运营维护管理的单位。本办法所称再生水用户，是指从公共再生水利用设施设备取用水的单位和个人。</w:t>
      </w:r>
    </w:p>
    <w:p w14:paraId="2B38F9DA">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本办法所称再生水设施设备，是指用于工业生产、城市杂用、</w:t>
      </w:r>
    </w:p>
    <w:p w14:paraId="20D06C7A">
      <w:pPr>
        <w:pStyle w:val="6"/>
        <w:shd w:val="clear" w:color="auto" w:fill="FFFFFF"/>
        <w:spacing w:before="0" w:beforeAutospacing="0" w:after="0" w:afterAutospacing="0" w:line="560" w:lineRule="exact"/>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湿地补水、农业及景观环境等领域的再生水厂站、输配水管网、加压泵站、计量、水质检测等其他相关设施。再生水设施设备除用户自建用于再生水输送的设施外，其余均为公共再生水设施设备。</w:t>
      </w:r>
    </w:p>
    <w:p w14:paraId="120E870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第四条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师市水行政主管部门是师市辖区内的再生水利用的行政主管部门，水行政主管部门应当将再生水利用纳入水资源的供需平衡体系，实行水资源统一配置。</w:t>
      </w:r>
    </w:p>
    <w:p w14:paraId="52B34B99">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师市发展</w:t>
      </w:r>
      <w:r>
        <w:rPr>
          <w:rFonts w:hint="default" w:ascii="Times New Roman" w:hAnsi="Times New Roman" w:eastAsia="方正仿宋简体" w:cs="Times New Roman"/>
          <w:color w:val="000000" w:themeColor="text1"/>
          <w:sz w:val="32"/>
          <w:szCs w:val="32"/>
          <w:lang w:val="en-US" w:eastAsia="zh-CN"/>
        </w:rPr>
        <w:t>和</w:t>
      </w:r>
      <w:r>
        <w:rPr>
          <w:rFonts w:hint="default" w:ascii="Times New Roman" w:hAnsi="Times New Roman" w:eastAsia="方正仿宋简体" w:cs="Times New Roman"/>
          <w:color w:val="000000" w:themeColor="text1"/>
          <w:sz w:val="32"/>
          <w:szCs w:val="32"/>
        </w:rPr>
        <w:t>改革、财政（国资）、</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、生态环境、</w:t>
      </w:r>
      <w:r>
        <w:rPr>
          <w:rFonts w:hint="eastAsia" w:ascii="Times New Roman" w:hAnsi="Times New Roman" w:eastAsia="方正仿宋简体" w:cs="Times New Roman"/>
          <w:color w:val="000000" w:themeColor="text1"/>
          <w:sz w:val="32"/>
          <w:szCs w:val="32"/>
          <w:lang w:eastAsia="zh-CN"/>
        </w:rPr>
        <w:t>自然资源和规划</w:t>
      </w:r>
      <w:r>
        <w:rPr>
          <w:rFonts w:hint="default" w:ascii="Times New Roman" w:hAnsi="Times New Roman" w:eastAsia="方正仿宋简体" w:cs="Times New Roman"/>
          <w:color w:val="000000" w:themeColor="text1"/>
          <w:sz w:val="32"/>
          <w:szCs w:val="32"/>
        </w:rPr>
        <w:t>、</w:t>
      </w:r>
      <w:r>
        <w:rPr>
          <w:rFonts w:hint="default" w:ascii="Times New Roman" w:hAnsi="Times New Roman" w:eastAsia="方正仿宋简体" w:cs="Times New Roman"/>
          <w:color w:val="000000" w:themeColor="text1"/>
          <w:sz w:val="32"/>
          <w:szCs w:val="32"/>
          <w:lang w:val="en-US" w:eastAsia="zh-CN"/>
        </w:rPr>
        <w:t>工业和信息化</w:t>
      </w:r>
      <w:r>
        <w:rPr>
          <w:rFonts w:hint="default" w:ascii="Times New Roman" w:hAnsi="Times New Roman" w:eastAsia="方正仿宋简体" w:cs="Times New Roman"/>
          <w:color w:val="000000" w:themeColor="text1"/>
          <w:sz w:val="32"/>
          <w:szCs w:val="32"/>
        </w:rPr>
        <w:t>及各园区管委会等有关单位按照各自职责分工，协同做好再生水利用的监督和管理工作。</w:t>
      </w:r>
    </w:p>
    <w:p w14:paraId="40FD46D3">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第五条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部门应当会同发展</w:t>
      </w:r>
      <w:r>
        <w:rPr>
          <w:rFonts w:hint="default" w:ascii="Times New Roman" w:hAnsi="Times New Roman" w:eastAsia="方正仿宋简体" w:cs="Times New Roman"/>
          <w:color w:val="000000" w:themeColor="text1"/>
          <w:sz w:val="32"/>
          <w:szCs w:val="32"/>
          <w:lang w:val="en-US" w:eastAsia="zh-CN"/>
        </w:rPr>
        <w:t>和</w:t>
      </w:r>
      <w:r>
        <w:rPr>
          <w:rFonts w:hint="default" w:ascii="Times New Roman" w:hAnsi="Times New Roman" w:eastAsia="方正仿宋简体" w:cs="Times New Roman"/>
          <w:color w:val="000000" w:themeColor="text1"/>
          <w:sz w:val="32"/>
          <w:szCs w:val="32"/>
        </w:rPr>
        <w:t>改革、水利、工业和信息化、</w:t>
      </w:r>
      <w:r>
        <w:rPr>
          <w:rFonts w:hint="eastAsia" w:ascii="Times New Roman" w:hAnsi="Times New Roman" w:eastAsia="方正仿宋简体" w:cs="Times New Roman"/>
          <w:color w:val="000000" w:themeColor="text1"/>
          <w:sz w:val="32"/>
          <w:szCs w:val="32"/>
          <w:lang w:eastAsia="zh-CN"/>
        </w:rPr>
        <w:t>自然资源和规划</w:t>
      </w:r>
      <w:r>
        <w:rPr>
          <w:rFonts w:hint="default" w:ascii="Times New Roman" w:hAnsi="Times New Roman" w:eastAsia="方正仿宋简体" w:cs="Times New Roman"/>
          <w:color w:val="000000" w:themeColor="text1"/>
          <w:sz w:val="32"/>
          <w:szCs w:val="32"/>
        </w:rPr>
        <w:t>、生态环境等部门组织编制再生水利用专项规划，报师市批准后组织实施。再生水利用专项规划应纳入国土空间规划专项目录清单，并与国土空间规划一致。</w:t>
      </w:r>
    </w:p>
    <w:p w14:paraId="4BDA44CD">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编制</w:t>
      </w:r>
      <w:bookmarkStart w:id="0" w:name="_GoBack"/>
      <w:bookmarkEnd w:id="0"/>
      <w:r>
        <w:rPr>
          <w:rFonts w:hint="default" w:ascii="Times New Roman" w:hAnsi="Times New Roman" w:eastAsia="方正仿宋简体" w:cs="Times New Roman"/>
          <w:color w:val="000000" w:themeColor="text1"/>
          <w:sz w:val="32"/>
          <w:szCs w:val="32"/>
        </w:rPr>
        <w:t>再生水利用专项规划应当以推进城市再生水利用为重点，遵循因地制宜、集中利用为主、分散利用为辅的原则，做到再生水厂与再生水输配管网合理布局、优化配置。</w:t>
      </w:r>
    </w:p>
    <w:p w14:paraId="670A5004">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第六条</w:t>
      </w:r>
      <w:r>
        <w:rPr>
          <w:rFonts w:hint="default" w:ascii="Times New Roman" w:hAnsi="Times New Roman" w:eastAsia="方正仿宋简体" w:cs="Times New Roman"/>
          <w:color w:val="000000" w:themeColor="text1"/>
          <w:sz w:val="32"/>
          <w:szCs w:val="32"/>
        </w:rPr>
        <w:t xml:space="preserve"> </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部门应当会同发展</w:t>
      </w:r>
      <w:r>
        <w:rPr>
          <w:rFonts w:hint="default" w:ascii="Times New Roman" w:hAnsi="Times New Roman" w:eastAsia="方正仿宋简体" w:cs="Times New Roman"/>
          <w:color w:val="000000" w:themeColor="text1"/>
          <w:sz w:val="32"/>
          <w:szCs w:val="32"/>
          <w:lang w:val="en-US" w:eastAsia="zh-CN"/>
        </w:rPr>
        <w:t>和</w:t>
      </w:r>
      <w:r>
        <w:rPr>
          <w:rFonts w:hint="default" w:ascii="Times New Roman" w:hAnsi="Times New Roman" w:eastAsia="方正仿宋简体" w:cs="Times New Roman"/>
          <w:color w:val="000000" w:themeColor="text1"/>
          <w:sz w:val="32"/>
          <w:szCs w:val="32"/>
        </w:rPr>
        <w:t>改革、水利、工业和信息化、</w:t>
      </w:r>
      <w:r>
        <w:rPr>
          <w:rFonts w:hint="eastAsia" w:ascii="Times New Roman" w:hAnsi="Times New Roman" w:eastAsia="方正仿宋简体" w:cs="Times New Roman"/>
          <w:color w:val="000000" w:themeColor="text1"/>
          <w:sz w:val="32"/>
          <w:szCs w:val="32"/>
          <w:lang w:eastAsia="zh-CN"/>
        </w:rPr>
        <w:t>自然资源和规划</w:t>
      </w:r>
      <w:r>
        <w:rPr>
          <w:rFonts w:hint="default" w:ascii="Times New Roman" w:hAnsi="Times New Roman" w:eastAsia="方正仿宋简体" w:cs="Times New Roman"/>
          <w:color w:val="000000" w:themeColor="text1"/>
          <w:sz w:val="32"/>
          <w:szCs w:val="32"/>
        </w:rPr>
        <w:t>、生态环境等部门根据再生水利用专项规划，制定再生水利用设施年度建设计划，报师市批准后组织实施。政府投资的再生水利用设施纳入市政基础设施建设计划。</w:t>
      </w:r>
    </w:p>
    <w:p w14:paraId="14290D94">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再生水利用设施建设应当与道路建设相协调，确保管网建设的系统性。</w:t>
      </w:r>
    </w:p>
    <w:p w14:paraId="14B4D408">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 xml:space="preserve">第七条 </w:t>
      </w:r>
      <w:r>
        <w:rPr>
          <w:rFonts w:hint="default" w:ascii="Times New Roman" w:hAnsi="Times New Roman" w:eastAsia="方正仿宋简体" w:cs="Times New Roman"/>
          <w:color w:val="000000" w:themeColor="text1"/>
          <w:sz w:val="32"/>
          <w:szCs w:val="32"/>
        </w:rPr>
        <w:t>新建公共建筑、工业项目等有关领域应充分考虑再生水利用可行性。</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部门在污水处理厂新建、提质增效及再生水生产输配设施等建设项目中有效提升再生水规模。工业和信息化部门应大力推进工业企业节水改造，支持开展再生水利用改造。</w:t>
      </w:r>
    </w:p>
    <w:p w14:paraId="308660EC">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鼓励和支持下列项目按照再生水利用规划和建设规范，配套建设再生水利用设施：</w:t>
      </w:r>
    </w:p>
    <w:p w14:paraId="0FFB9F45">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（一）新建、改（扩）建的城镇污水处理厂；</w:t>
      </w:r>
    </w:p>
    <w:p w14:paraId="712A9EA0">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（二）钢铁、火力发电、垃圾焚烧、化工等项目；</w:t>
      </w:r>
    </w:p>
    <w:p w14:paraId="01C6C9CF">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（三）市政园林绿化及道路养护用水集中取水地；</w:t>
      </w:r>
    </w:p>
    <w:p w14:paraId="4A198D3C">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（四）其他应当配套建设再生水利用设施的项目。</w:t>
      </w:r>
    </w:p>
    <w:p w14:paraId="341295D9">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新建、改（扩）建建设项目配套建设再生水利用设施的，其建设资金应当列入建设项目总投资，并与主体工程同时设计、同时施工、同时投入使用。</w:t>
      </w:r>
    </w:p>
    <w:p w14:paraId="51B494F6">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第八条</w:t>
      </w:r>
      <w:r>
        <w:rPr>
          <w:rFonts w:hint="default" w:ascii="Times New Roman" w:hAnsi="Times New Roman" w:eastAsia="方正仿宋简体" w:cs="Times New Roman"/>
          <w:color w:val="000000" w:themeColor="text1"/>
          <w:sz w:val="32"/>
          <w:szCs w:val="32"/>
        </w:rPr>
        <w:t xml:space="preserve"> 建设单位需建设再生水利用设施的，在编制工程建设项目规划方案、可行性研究报告、初步设计时，应增加再生水设计建设专篇（包括设计依据、设计原则、设计基本控制目标、设施规模计算等）</w:t>
      </w:r>
      <w:r>
        <w:rPr>
          <w:rFonts w:hint="default" w:ascii="Times New Roman" w:hAnsi="Times New Roman" w:eastAsia="方正仿宋简体" w:cs="Times New Roman"/>
          <w:color w:val="000000" w:themeColor="text1"/>
          <w:sz w:val="32"/>
          <w:szCs w:val="32"/>
          <w:lang w:eastAsia="zh-CN"/>
        </w:rPr>
        <w:t>，</w:t>
      </w:r>
      <w:r>
        <w:rPr>
          <w:rFonts w:hint="default" w:ascii="Times New Roman" w:hAnsi="Times New Roman" w:eastAsia="方正仿宋简体" w:cs="Times New Roman"/>
          <w:color w:val="000000" w:themeColor="text1"/>
          <w:sz w:val="32"/>
          <w:szCs w:val="32"/>
        </w:rPr>
        <w:t>并向</w:t>
      </w:r>
      <w:r>
        <w:rPr>
          <w:rFonts w:hint="eastAsia" w:ascii="Times New Roman" w:hAnsi="Times New Roman" w:eastAsia="方正仿宋简体" w:cs="Times New Roman"/>
          <w:color w:val="000000" w:themeColor="text1"/>
          <w:sz w:val="32"/>
          <w:szCs w:val="32"/>
          <w:lang w:eastAsia="zh-CN"/>
        </w:rPr>
        <w:t>自然资源和规划</w:t>
      </w:r>
      <w:r>
        <w:rPr>
          <w:rFonts w:hint="default" w:ascii="Times New Roman" w:hAnsi="Times New Roman" w:eastAsia="方正仿宋简体" w:cs="Times New Roman"/>
          <w:color w:val="000000" w:themeColor="text1"/>
          <w:sz w:val="32"/>
          <w:szCs w:val="32"/>
        </w:rPr>
        <w:t>部门申请建设工程规划许可，</w:t>
      </w:r>
      <w:r>
        <w:rPr>
          <w:rFonts w:hint="eastAsia" w:ascii="Times New Roman" w:hAnsi="Times New Roman" w:eastAsia="方正仿宋简体" w:cs="Times New Roman"/>
          <w:color w:val="000000" w:themeColor="text1"/>
          <w:sz w:val="32"/>
          <w:szCs w:val="32"/>
          <w:lang w:eastAsia="zh-CN"/>
        </w:rPr>
        <w:t>自然资源和规划</w:t>
      </w:r>
      <w:r>
        <w:rPr>
          <w:rFonts w:hint="default" w:ascii="Times New Roman" w:hAnsi="Times New Roman" w:eastAsia="方正仿宋简体" w:cs="Times New Roman"/>
          <w:color w:val="000000" w:themeColor="text1"/>
          <w:sz w:val="32"/>
          <w:szCs w:val="32"/>
        </w:rPr>
        <w:t>部门在进行许可时，应当就再生水利用设施建设内容征求</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部门的意见</w:t>
      </w:r>
      <w:r>
        <w:rPr>
          <w:rFonts w:hint="default" w:ascii="Times New Roman" w:hAnsi="Times New Roman" w:eastAsia="方正仿宋简体" w:cs="Times New Roman"/>
          <w:color w:val="000000" w:themeColor="text1"/>
          <w:sz w:val="32"/>
          <w:szCs w:val="32"/>
          <w:lang w:eastAsia="zh-CN"/>
        </w:rPr>
        <w:t>，</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部门应当按照要求及时反馈意见。</w:t>
      </w:r>
    </w:p>
    <w:p w14:paraId="6299E94A">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 xml:space="preserve">第九条 </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部门在建设项目施工过程中，应对建设项目的再生水建设工程质量进行监督管理，并将再生水工程建设情况纳入工程质量监督报告。</w:t>
      </w:r>
    </w:p>
    <w:p w14:paraId="6FBC9009">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第十条</w:t>
      </w:r>
      <w:r>
        <w:rPr>
          <w:rFonts w:hint="default" w:ascii="Times New Roman" w:hAnsi="Times New Roman" w:eastAsia="方正仿宋简体" w:cs="Times New Roman"/>
          <w:color w:val="000000" w:themeColor="text1"/>
          <w:sz w:val="32"/>
          <w:szCs w:val="32"/>
        </w:rPr>
        <w:t xml:space="preserve"> 再生水利用设施工程竣工后，建设单位应当依法组织竣工验收。未经验收或者验收不合格的，不得交付使用。</w:t>
      </w:r>
    </w:p>
    <w:p w14:paraId="02EB97DC">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第十一条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新建再生水管道</w:t>
      </w:r>
      <w:r>
        <w:rPr>
          <w:rFonts w:hint="default" w:ascii="Times New Roman" w:hAnsi="Times New Roman" w:eastAsia="方正仿宋简体" w:cs="Times New Roman"/>
          <w:color w:val="000000" w:themeColor="text1"/>
          <w:sz w:val="32"/>
          <w:szCs w:val="32"/>
          <w:lang w:val="en-US" w:eastAsia="zh-CN"/>
        </w:rPr>
        <w:t>需要</w:t>
      </w:r>
      <w:r>
        <w:rPr>
          <w:rFonts w:hint="default" w:ascii="Times New Roman" w:hAnsi="Times New Roman" w:eastAsia="方正仿宋简体" w:cs="Times New Roman"/>
          <w:color w:val="000000" w:themeColor="text1"/>
          <w:sz w:val="32"/>
          <w:szCs w:val="32"/>
        </w:rPr>
        <w:t>与</w:t>
      </w:r>
      <w:r>
        <w:rPr>
          <w:rFonts w:hint="default" w:ascii="Times New Roman" w:hAnsi="Times New Roman" w:eastAsia="方正仿宋简体" w:cs="Times New Roman"/>
          <w:color w:val="000000" w:themeColor="text1"/>
          <w:sz w:val="32"/>
          <w:szCs w:val="32"/>
          <w:lang w:val="en-US" w:eastAsia="zh-CN"/>
        </w:rPr>
        <w:t>已有</w:t>
      </w:r>
      <w:r>
        <w:rPr>
          <w:rFonts w:hint="default" w:ascii="Times New Roman" w:hAnsi="Times New Roman" w:eastAsia="方正仿宋简体" w:cs="Times New Roman"/>
          <w:color w:val="000000" w:themeColor="text1"/>
          <w:sz w:val="32"/>
          <w:szCs w:val="32"/>
        </w:rPr>
        <w:t>管道连接的，建设单位应当提前向再生水运营单位提出申请，经再生水运营单位现场勘验同意后向城市管理部门报告，禁止私自连接。</w:t>
      </w:r>
    </w:p>
    <w:p w14:paraId="27E1466D">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第十二条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再生水工程设计、勘察、施工图审查</w:t>
      </w:r>
      <w:r>
        <w:rPr>
          <w:rFonts w:hint="default" w:ascii="Times New Roman" w:hAnsi="Times New Roman" w:eastAsia="方正仿宋简体" w:cs="Times New Roman"/>
          <w:color w:val="000000" w:themeColor="text1"/>
          <w:sz w:val="32"/>
          <w:szCs w:val="32"/>
          <w:lang w:eastAsia="zh-CN"/>
        </w:rPr>
        <w:t>、</w:t>
      </w:r>
      <w:r>
        <w:rPr>
          <w:rFonts w:hint="default" w:ascii="Times New Roman" w:hAnsi="Times New Roman" w:eastAsia="方正仿宋简体" w:cs="Times New Roman"/>
          <w:color w:val="000000" w:themeColor="text1"/>
          <w:sz w:val="32"/>
          <w:szCs w:val="32"/>
        </w:rPr>
        <w:t>施工、监理等单位应当</w:t>
      </w:r>
      <w:r>
        <w:rPr>
          <w:rFonts w:hint="default" w:ascii="Times New Roman" w:hAnsi="Times New Roman" w:eastAsia="方正仿宋简体" w:cs="Times New Roman"/>
          <w:color w:val="000000" w:themeColor="text1"/>
          <w:sz w:val="32"/>
          <w:szCs w:val="32"/>
          <w:lang w:val="en-US" w:eastAsia="zh-CN"/>
        </w:rPr>
        <w:t>具有国家规定的相应资质，严格执行国家、地方的有关规定、</w:t>
      </w:r>
      <w:r>
        <w:rPr>
          <w:rFonts w:hint="default" w:ascii="Times New Roman" w:hAnsi="Times New Roman" w:eastAsia="方正仿宋简体" w:cs="Times New Roman"/>
          <w:color w:val="000000" w:themeColor="text1"/>
          <w:sz w:val="32"/>
          <w:szCs w:val="32"/>
        </w:rPr>
        <w:t>标准和规范，按照各自分工做好相关工作，禁止无证或者超越资质证书承担再生水工程的设计、勘察、施工、监理任务。</w:t>
      </w:r>
      <w:r>
        <w:rPr>
          <w:rFonts w:hint="default" w:ascii="Times New Roman" w:hAnsi="Times New Roman" w:eastAsia="MS Mincho" w:cs="Times New Roman"/>
          <w:color w:val="000000" w:themeColor="text1"/>
          <w:sz w:val="32"/>
          <w:szCs w:val="32"/>
        </w:rPr>
        <w:t> </w:t>
      </w:r>
    </w:p>
    <w:p w14:paraId="42E21C18">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第十三条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再生水配置遵循优先配置、总量统筹原则。再生水利用遵循安全高效、分质分类的原则。</w:t>
      </w:r>
    </w:p>
    <w:p w14:paraId="7775B519">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第十四条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水行政主管部门应当将再生水纳入师市水资源统一配置体系，实行地表水、地下水、再生水等统一配置、统一调度，并按照工业生产、城市杂用、湿地及景观环境等用水类型配置和管理再生水资源，加强再生水用途管理，强化水资源刚性约束，提高再生水资源管理水平和利用效率。</w:t>
      </w:r>
    </w:p>
    <w:p w14:paraId="407E409D">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第十五条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再生水配置遵循配额制，实行下限控制，超出部分不计入年度考核用水总量统计。</w:t>
      </w:r>
    </w:p>
    <w:p w14:paraId="0676E675">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再生水利用总量由水行政主管部门负责统筹调控及监管。</w:t>
      </w:r>
    </w:p>
    <w:p w14:paraId="691B2AE5">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第十六条</w:t>
      </w:r>
      <w:r>
        <w:rPr>
          <w:rFonts w:hint="default" w:ascii="Times New Roman" w:hAnsi="Times New Roman" w:eastAsia="MS Mincho" w:cs="Times New Roman"/>
          <w:color w:val="000000" w:themeColor="text1"/>
          <w:sz w:val="32"/>
          <w:szCs w:val="32"/>
        </w:rPr>
        <w:t> </w:t>
      </w:r>
      <w:r>
        <w:rPr>
          <w:rFonts w:hint="default" w:ascii="Times New Roman" w:hAnsi="Times New Roman" w:eastAsia="仿宋" w:cs="Times New Roman"/>
          <w:color w:val="000000" w:themeColor="text1"/>
          <w:sz w:val="32"/>
          <w:szCs w:val="32"/>
        </w:rPr>
        <w:t>开</w:t>
      </w:r>
      <w:r>
        <w:rPr>
          <w:rFonts w:hint="default" w:ascii="Times New Roman" w:hAnsi="Times New Roman" w:eastAsia="方正仿宋简体" w:cs="Times New Roman"/>
          <w:color w:val="000000" w:themeColor="text1"/>
          <w:sz w:val="32"/>
          <w:szCs w:val="32"/>
        </w:rPr>
        <w:t>展规划水资源论证应当统筹地表水、地下水、再生水。取水审批机关在开展新建、改建、扩建项目的水资源论证审查和取水许可审批时，应当充分考虑优先配置使用再生水，逐步减少具备使用再生水条件用户的新鲜水用量，提高再生水利用率。</w:t>
      </w:r>
    </w:p>
    <w:p w14:paraId="7BA7F85C">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第十七条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用水单位如具备再生水利用条件，取水审批机关应当为用水单位配置再生水并将再生水纳入用水单位的年度用水计划，再生水运营单位应当为用水单位确定接入水源点。钢铁、热电、煤化工等高耗水具备利用条件的企业，必须使用再生水；具备条件而未使用的，要严格控制新增取水许可，直至做到充分使用再生水。</w:t>
      </w:r>
    </w:p>
    <w:p w14:paraId="3EC17F3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第十八条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具备再生水使用条件的，下列情形应当使用再生水：</w:t>
      </w:r>
    </w:p>
    <w:p w14:paraId="43EE022E">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（一）城市绿化、冲厕、道路清扫、车辆冲洗、建筑施工等城市杂用水；</w:t>
      </w:r>
    </w:p>
    <w:p w14:paraId="5374B12B">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（二）冷却、洗涤、锅炉、工艺、产品等工业生产用水；</w:t>
      </w:r>
    </w:p>
    <w:p w14:paraId="150D81E8">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（三）观赏性景观、河道、湖泊、湿地等生态环境用水；</w:t>
      </w:r>
    </w:p>
    <w:p w14:paraId="23F1421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（四）其他具备再生水使用条件的情形。</w:t>
      </w:r>
      <w:r>
        <w:rPr>
          <w:rFonts w:hint="default" w:ascii="Times New Roman" w:hAnsi="Times New Roman" w:eastAsia="MS Mincho" w:cs="Times New Roman"/>
          <w:color w:val="000000" w:themeColor="text1"/>
          <w:sz w:val="32"/>
          <w:szCs w:val="32"/>
        </w:rPr>
        <w:t> </w:t>
      </w:r>
    </w:p>
    <w:p w14:paraId="2E77F3FA">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第十九条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再生水运营单位应当取得师市的特许经营权或运营管理授权，并与师市再生水利用的行政主管部门签订相应协议后，方可从事经营活动。</w:t>
      </w:r>
    </w:p>
    <w:p w14:paraId="54CCEC65">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第二十条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部门应当就再生水设施设备的运行、维护等情况对再生水运营单位进行监督检查。</w:t>
      </w:r>
    </w:p>
    <w:p w14:paraId="6B67AD52">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第二十一条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各团场（大营房城管委）、园区管委会应当加强对再生水用户用水行为的监督管理，鼓励企业积极使用再生水。</w:t>
      </w:r>
    </w:p>
    <w:p w14:paraId="008715B5">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第二十二条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生产单位应当建立水质检测和水质管理制度，按照国家相关标准规定的检测项目、检测频率和检测方法，对水质进行定期检测，确保出水水质符合国家或地方标准，并向生态环境部门报送水质报表和检测资料，生态环境部门应每半年对再生水水厂水质进行检测抽查。</w:t>
      </w:r>
    </w:p>
    <w:p w14:paraId="63A0BC39">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第二十三条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再生水运营单位应当保证水压、水量</w:t>
      </w:r>
      <w:r>
        <w:rPr>
          <w:rFonts w:hint="eastAsia" w:ascii="Times New Roman" w:hAnsi="Times New Roman" w:eastAsia="方正仿宋简体" w:cs="Times New Roman"/>
          <w:color w:val="000000" w:themeColor="text1"/>
          <w:sz w:val="32"/>
          <w:szCs w:val="32"/>
          <w:lang w:eastAsia="zh-CN"/>
        </w:rPr>
        <w:t>、</w:t>
      </w:r>
      <w:r>
        <w:rPr>
          <w:rFonts w:hint="default" w:ascii="Times New Roman" w:hAnsi="Times New Roman" w:eastAsia="方正仿宋简体" w:cs="Times New Roman"/>
          <w:color w:val="000000" w:themeColor="text1"/>
          <w:sz w:val="32"/>
          <w:szCs w:val="32"/>
        </w:rPr>
        <w:t>水质等满足再生水用户需求。</w:t>
      </w:r>
    </w:p>
    <w:p w14:paraId="7D56ED2F">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再生水运营单位应当按照国家或</w:t>
      </w:r>
      <w:r>
        <w:rPr>
          <w:rFonts w:hint="default" w:ascii="Times New Roman" w:hAnsi="Times New Roman" w:eastAsia="方正仿宋简体" w:cs="Times New Roman"/>
          <w:color w:val="000000" w:themeColor="text1"/>
          <w:sz w:val="32"/>
          <w:szCs w:val="32"/>
          <w:lang w:val="en-US" w:eastAsia="zh-CN"/>
        </w:rPr>
        <w:t>地方</w:t>
      </w:r>
      <w:r>
        <w:rPr>
          <w:rFonts w:hint="default" w:ascii="Times New Roman" w:hAnsi="Times New Roman" w:eastAsia="方正仿宋简体" w:cs="Times New Roman"/>
          <w:color w:val="000000" w:themeColor="text1"/>
          <w:sz w:val="32"/>
          <w:szCs w:val="32"/>
        </w:rPr>
        <w:t>相关技术标准，加强对</w:t>
      </w:r>
    </w:p>
    <w:p w14:paraId="275E8BAB">
      <w:pPr>
        <w:pStyle w:val="6"/>
        <w:shd w:val="clear" w:color="auto" w:fill="FFFFFF"/>
        <w:spacing w:before="0" w:beforeAutospacing="0" w:after="0" w:afterAutospacing="0" w:line="560" w:lineRule="exact"/>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再生水设施设备的维修与养护，建立设施维护管理制度和工作规程，健全安全生产管理制度，定期开展巡检，确保再生水设施设备正常运行。</w:t>
      </w:r>
    </w:p>
    <w:p w14:paraId="1C458E90">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再生水运营单位应当一体推进智慧水务建设，积极推进终端用户再生水智能水表安装。</w:t>
      </w:r>
    </w:p>
    <w:p w14:paraId="324BE91A">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第二十四条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在工程建设过程中，如需对已铺设完成的再生水管网进行开挖或迁改，建设单位须经</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部门及再生水运营单位同意后方可实施，并承担管网迁改等费用。开挖过程中因施工不当，对再生水管网造成破坏的，由建设单位承担相应损失。</w:t>
      </w:r>
    </w:p>
    <w:p w14:paraId="62962520">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第二十五条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利用实行有偿使用，建立使用者付费制度。使用价格由再生水运营单位和用户根据水质、成本、用途和用量等自主协商确定。再生水水价的构成包括但不限于再生水生产、销售、管理、建设、管网维护、泵站及其附属设施维护等费用。</w:t>
      </w:r>
    </w:p>
    <w:p w14:paraId="7E8465BE">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对于提供公共生态环境服务功能的河湖湿地生态补水、景观绿化等环境用水使用再生水的，鼓励采用政府购买服务的方式推动再生水利用。</w:t>
      </w:r>
    </w:p>
    <w:p w14:paraId="15C3638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使用再生水的用户应当与再生水运营单位签订供水协议。包括水源热泵等从再生水中提取其他资源和能源应用于供热制冷等用途的用户也应缴纳相应费用。</w:t>
      </w:r>
    </w:p>
    <w:p w14:paraId="193D5739">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第二十六条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再生水运营单位应当遵守下列规定：</w:t>
      </w:r>
    </w:p>
    <w:p w14:paraId="6775CB1F">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（一）保障城市再生水的供应，不得擅自停水；</w:t>
      </w:r>
    </w:p>
    <w:p w14:paraId="36EAFF09">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（二）按照国家有关规定设置管网测压点，做好水压监测工作，确保再生水管网压力符合用户要求；</w:t>
      </w:r>
    </w:p>
    <w:p w14:paraId="66E786E1">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（三）安装的注册水表符合国家计量规定，并定期检定、更换和维修；</w:t>
      </w:r>
    </w:p>
    <w:p w14:paraId="661583AF">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（四）对用户提出的服务要求和投诉及时解决和答复。</w:t>
      </w:r>
      <w:r>
        <w:rPr>
          <w:rFonts w:hint="default" w:ascii="Times New Roman" w:hAnsi="Times New Roman" w:eastAsia="MS Mincho" w:cs="Times New Roman"/>
          <w:color w:val="000000" w:themeColor="text1"/>
          <w:sz w:val="32"/>
          <w:szCs w:val="32"/>
        </w:rPr>
        <w:t> </w:t>
      </w:r>
    </w:p>
    <w:p w14:paraId="773A98D8">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第二十七条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lang w:val="en-US" w:eastAsia="zh-CN"/>
        </w:rPr>
        <w:t>禁止下列损害再生水利用设施的</w:t>
      </w:r>
      <w:r>
        <w:rPr>
          <w:rFonts w:hint="default" w:ascii="Times New Roman" w:hAnsi="Times New Roman" w:eastAsia="方正仿宋简体" w:cs="Times New Roman"/>
          <w:color w:val="000000" w:themeColor="text1"/>
          <w:sz w:val="32"/>
          <w:szCs w:val="32"/>
        </w:rPr>
        <w:t>行为：</w:t>
      </w:r>
    </w:p>
    <w:p w14:paraId="2EBB4C5C">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（一）将再生水管道、水箱等与自来水管道、水箱等连接；</w:t>
      </w:r>
    </w:p>
    <w:p w14:paraId="5EE6D050">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（二）擅自改变再生水水源用途；</w:t>
      </w:r>
    </w:p>
    <w:p w14:paraId="6B2C418C">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（三）占压、拆卸、移动、穿凿、堵塞设施；</w:t>
      </w:r>
    </w:p>
    <w:p w14:paraId="5AE96004">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（四）在再生水管道上或者注册水表后装泵抽水；</w:t>
      </w:r>
    </w:p>
    <w:p w14:paraId="2ACC1CA3">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（五）侵占、损毁、擅自移动用水计量设施，干扰用水计量；</w:t>
      </w:r>
    </w:p>
    <w:p w14:paraId="4E5F1978">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（六）其他破坏再生水利用设施和盗窃再生水的行为。</w:t>
      </w:r>
    </w:p>
    <w:p w14:paraId="69C42A5B">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第二十八条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再生水设施设备的产权单位应当在再生水取水口和公共用水区域设置再生水标识。明设的再生水管道、水箱等设备外部应当涂成绿色，出口应当在显著位置上标明“非饮用水”等字样。</w:t>
      </w:r>
      <w:r>
        <w:rPr>
          <w:rFonts w:hint="default" w:ascii="Times New Roman" w:hAnsi="Times New Roman" w:eastAsia="MS Mincho" w:cs="Times New Roman"/>
          <w:color w:val="000000" w:themeColor="text1"/>
          <w:sz w:val="32"/>
          <w:szCs w:val="32"/>
        </w:rPr>
        <w:t> </w:t>
      </w:r>
    </w:p>
    <w:p w14:paraId="293E9F18">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黑体" w:cs="Times New Roman"/>
          <w:color w:val="000000" w:themeColor="text1"/>
          <w:sz w:val="32"/>
          <w:szCs w:val="32"/>
        </w:rPr>
        <w:t>第二十九条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再生水生产、运营单位应当制定再生水突发事件应急预案，定期开展安全风险管控和隐患排查，落实各项安全防范措施，及时消除隐患。</w:t>
      </w:r>
    </w:p>
    <w:p w14:paraId="399024D5">
      <w:pPr>
        <w:pStyle w:val="6"/>
        <w:shd w:val="clear" w:color="auto" w:fill="FFFFFF"/>
        <w:spacing w:before="0" w:beforeAutospacing="0" w:after="0" w:afterAutospacing="0" w:line="560" w:lineRule="exact"/>
        <w:ind w:firstLine="640" w:firstLineChars="200"/>
        <w:jc w:val="both"/>
        <w:rPr>
          <w:rFonts w:hint="default" w:ascii="Times New Roman" w:hAnsi="Times New Roman" w:eastAsia="方正仿宋简体" w:cs="Times New Roman"/>
          <w:color w:val="000000" w:themeColor="text1"/>
          <w:sz w:val="45"/>
          <w:szCs w:val="45"/>
        </w:rPr>
      </w:pPr>
      <w:r>
        <w:rPr>
          <w:rFonts w:hint="default" w:ascii="Times New Roman" w:hAnsi="Times New Roman" w:eastAsia="方正仿宋简体" w:cs="Times New Roman"/>
          <w:color w:val="000000" w:themeColor="text1"/>
          <w:sz w:val="32"/>
          <w:szCs w:val="32"/>
        </w:rPr>
        <w:t>再生水设施设备发生故障时，再生水运营单位应当立即组织抢修并采取安全防护措施。公安、</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、水利、生态环境、</w:t>
      </w:r>
      <w:r>
        <w:rPr>
          <w:rFonts w:hint="default" w:ascii="Times New Roman" w:hAnsi="Times New Roman" w:eastAsia="方正仿宋简体" w:cs="Times New Roman"/>
          <w:color w:val="000000" w:themeColor="text1"/>
          <w:sz w:val="32"/>
          <w:szCs w:val="32"/>
          <w:lang w:val="en-US" w:eastAsia="zh-CN"/>
        </w:rPr>
        <w:t>工业和信息化</w:t>
      </w:r>
      <w:r>
        <w:rPr>
          <w:rFonts w:hint="default" w:ascii="Times New Roman" w:hAnsi="Times New Roman" w:eastAsia="方正仿宋简体" w:cs="Times New Roman"/>
          <w:color w:val="000000" w:themeColor="text1"/>
          <w:sz w:val="32"/>
          <w:szCs w:val="32"/>
        </w:rPr>
        <w:t>等有关部门和单位应当积极配合，保证抢修作业的进行。</w:t>
      </w:r>
    </w:p>
    <w:p w14:paraId="6355F953">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第三十条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再生水生产运营单位应当保持不间断供水。因工程施工、设备改造、维修、更新或者再生水生产工艺重大调整等原因，确需停止供水的，应当经城市管理部门批准并提前24小时通知再生水用户；因发生灾害或者紧急事故，不能提前通知的，再生水运营单位应当在抢修的同时通知再生水用户，尽快恢复正常供水，并向城市管理部门报告。</w:t>
      </w:r>
    </w:p>
    <w:p w14:paraId="4229D5F8">
      <w:pPr>
        <w:pStyle w:val="6"/>
        <w:shd w:val="clear" w:color="auto" w:fill="FFFFFF"/>
        <w:spacing w:before="0" w:beforeAutospacing="0" w:after="0" w:afterAutospacing="0" w:line="560" w:lineRule="exact"/>
        <w:ind w:firstLine="640" w:firstLineChars="200"/>
        <w:jc w:val="both"/>
        <w:rPr>
          <w:rFonts w:hint="default" w:ascii="Times New Roman" w:hAnsi="Times New Roman" w:eastAsia="仿宋" w:cs="Times New Roman"/>
          <w:color w:val="000000" w:themeColor="text1"/>
          <w:sz w:val="32"/>
          <w:szCs w:val="32"/>
        </w:rPr>
      </w:pPr>
      <w:r>
        <w:rPr>
          <w:rFonts w:hint="default" w:ascii="Times New Roman" w:hAnsi="Times New Roman" w:eastAsia="黑体" w:cs="Times New Roman"/>
          <w:color w:val="000000" w:themeColor="text1"/>
          <w:sz w:val="32"/>
          <w:szCs w:val="32"/>
        </w:rPr>
        <w:t>第三十一条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发展</w:t>
      </w:r>
      <w:r>
        <w:rPr>
          <w:rFonts w:hint="default" w:ascii="Times New Roman" w:hAnsi="Times New Roman" w:eastAsia="方正仿宋简体" w:cs="Times New Roman"/>
          <w:color w:val="000000" w:themeColor="text1"/>
          <w:sz w:val="32"/>
          <w:szCs w:val="32"/>
          <w:lang w:val="en-US" w:eastAsia="zh-CN"/>
        </w:rPr>
        <w:t>和</w:t>
      </w:r>
      <w:r>
        <w:rPr>
          <w:rFonts w:hint="default" w:ascii="Times New Roman" w:hAnsi="Times New Roman" w:eastAsia="方正仿宋简体" w:cs="Times New Roman"/>
          <w:color w:val="000000" w:themeColor="text1"/>
          <w:sz w:val="32"/>
          <w:szCs w:val="32"/>
        </w:rPr>
        <w:t>改革、财政、</w:t>
      </w:r>
      <w:r>
        <w:rPr>
          <w:rFonts w:hint="default" w:ascii="Times New Roman" w:hAnsi="Times New Roman" w:eastAsia="方正仿宋简体" w:cs="Times New Roman"/>
          <w:color w:val="000000" w:themeColor="text1"/>
          <w:sz w:val="32"/>
          <w:szCs w:val="32"/>
          <w:lang w:val="en-US" w:eastAsia="zh-CN"/>
        </w:rPr>
        <w:t>住房和城乡建设</w:t>
      </w:r>
      <w:r>
        <w:rPr>
          <w:rFonts w:hint="default" w:ascii="Times New Roman" w:hAnsi="Times New Roman" w:eastAsia="方正仿宋简体" w:cs="Times New Roman"/>
          <w:color w:val="000000" w:themeColor="text1"/>
          <w:sz w:val="32"/>
          <w:szCs w:val="32"/>
        </w:rPr>
        <w:t>、水利等有关部门，应当在资金保障、政策制定等方面加大对再生水设施设备建设项目的扶持力度。师市相关部门和单位鼓励和引导社会资本参与再生水利用设施的投资、建设和运营，</w:t>
      </w:r>
      <w:r>
        <w:rPr>
          <w:rFonts w:hint="default" w:ascii="Times New Roman" w:hAnsi="Times New Roman" w:eastAsia="方正仿宋简体" w:cs="Times New Roman"/>
          <w:color w:val="000000" w:themeColor="text1"/>
          <w:sz w:val="32"/>
          <w:szCs w:val="32"/>
          <w:highlight w:val="none"/>
        </w:rPr>
        <w:t>县级以上人民政府可以通过授予特许经营</w:t>
      </w:r>
      <w:r>
        <w:rPr>
          <w:rFonts w:hint="default" w:ascii="Times New Roman" w:hAnsi="Times New Roman" w:eastAsia="方正仿宋简体" w:cs="Times New Roman"/>
          <w:color w:val="000000" w:themeColor="text1"/>
          <w:sz w:val="32"/>
          <w:szCs w:val="32"/>
        </w:rPr>
        <w:t>、财政补助等方式予以支持。</w:t>
      </w:r>
    </w:p>
    <w:p w14:paraId="05E035B8">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 xml:space="preserve">第三十二条 </w:t>
      </w:r>
      <w:r>
        <w:rPr>
          <w:rFonts w:hint="default" w:ascii="Times New Roman" w:hAnsi="Times New Roman" w:eastAsia="方正仿宋简体" w:cs="Times New Roman"/>
          <w:color w:val="000000" w:themeColor="text1"/>
          <w:sz w:val="32"/>
          <w:szCs w:val="32"/>
        </w:rPr>
        <w:t>科技管理部门鼓励、支持再生水利用的科学研究和技术开发，引进和</w:t>
      </w:r>
      <w:r>
        <w:rPr>
          <w:rFonts w:hint="eastAsia" w:ascii="Times New Roman" w:hAnsi="Times New Roman" w:eastAsia="方正仿宋简体" w:cs="Times New Roman"/>
          <w:color w:val="000000" w:themeColor="text1"/>
          <w:sz w:val="32"/>
          <w:szCs w:val="32"/>
          <w:lang w:val="en-US" w:eastAsia="zh-CN"/>
        </w:rPr>
        <w:t>示范</w:t>
      </w:r>
      <w:r>
        <w:rPr>
          <w:rFonts w:hint="default" w:ascii="Times New Roman" w:hAnsi="Times New Roman" w:eastAsia="方正仿宋简体" w:cs="Times New Roman"/>
          <w:color w:val="000000" w:themeColor="text1"/>
          <w:sz w:val="32"/>
          <w:szCs w:val="32"/>
        </w:rPr>
        <w:t>新技术、新工艺、新设备，促进再生水利用。</w:t>
      </w:r>
    </w:p>
    <w:p w14:paraId="1E1F2407">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黑体" w:cs="Times New Roman"/>
          <w:color w:val="000000" w:themeColor="text1"/>
          <w:sz w:val="32"/>
          <w:szCs w:val="32"/>
        </w:rPr>
        <w:t xml:space="preserve">第三十三条 </w:t>
      </w:r>
      <w:r>
        <w:rPr>
          <w:rFonts w:hint="default" w:ascii="Times New Roman" w:hAnsi="Times New Roman" w:eastAsia="方正仿宋简体" w:cs="Times New Roman"/>
          <w:color w:val="000000" w:themeColor="text1"/>
          <w:sz w:val="32"/>
          <w:szCs w:val="32"/>
        </w:rPr>
        <w:t>宣传部门应当加强再生水利用宣传教育，提高公众对再生水的认识，促进公众形成自觉使用再生水的节水意识。</w:t>
      </w:r>
    </w:p>
    <w:p w14:paraId="12F019BC">
      <w:pPr>
        <w:pStyle w:val="6"/>
        <w:shd w:val="clear" w:color="auto" w:fill="FFFFFF"/>
        <w:spacing w:before="0" w:beforeAutospacing="0" w:after="0" w:afterAutospacing="0" w:line="560" w:lineRule="exact"/>
        <w:ind w:firstLine="640" w:firstLineChars="200"/>
        <w:jc w:val="both"/>
        <w:textAlignment w:val="baseline"/>
        <w:rPr>
          <w:rFonts w:hint="default" w:ascii="Times New Roman" w:hAnsi="Times New Roman" w:eastAsia="方正仿宋简体" w:cs="Times New Roman"/>
          <w:color w:val="000000" w:themeColor="text1"/>
          <w:sz w:val="32"/>
          <w:szCs w:val="32"/>
        </w:rPr>
      </w:pPr>
      <w:r>
        <w:rPr>
          <w:rFonts w:hint="default" w:ascii="Times New Roman" w:hAnsi="Times New Roman" w:eastAsia="方正仿宋简体" w:cs="Times New Roman"/>
          <w:color w:val="000000" w:themeColor="text1"/>
          <w:sz w:val="32"/>
          <w:szCs w:val="32"/>
        </w:rPr>
        <w:t>新闻媒体应当将再生水利用纳入公益节水宣传范围，配合水行政主管部门开展节约用水公益宣传，对用水浪费行为进行舆论监督。</w:t>
      </w:r>
    </w:p>
    <w:p w14:paraId="271EC809">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第三十四条</w:t>
      </w:r>
      <w:r>
        <w:rPr>
          <w:rFonts w:hint="default" w:ascii="Times New Roman" w:hAnsi="Times New Roman" w:eastAsia="MS Mincho" w:cs="Times New Roman"/>
          <w:color w:val="000000" w:themeColor="text1"/>
          <w:sz w:val="32"/>
          <w:szCs w:val="32"/>
        </w:rPr>
        <w:t> </w:t>
      </w:r>
      <w:r>
        <w:rPr>
          <w:rFonts w:hint="default" w:ascii="Times New Roman" w:hAnsi="Times New Roman" w:eastAsia="方正仿宋简体" w:cs="Times New Roman"/>
          <w:color w:val="000000" w:themeColor="text1"/>
          <w:sz w:val="32"/>
          <w:szCs w:val="32"/>
        </w:rPr>
        <w:t>建设、设计、勘察、施工、监理、施工图审查等单位违反本办法的，由相关主管部门依法依规处理并纳入工程建设领域企业信用档案。</w:t>
      </w:r>
    </w:p>
    <w:p w14:paraId="74B213D2">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第三十五条</w:t>
      </w:r>
      <w:r>
        <w:rPr>
          <w:rFonts w:hint="default" w:ascii="Times New Roman" w:hAnsi="Times New Roman" w:eastAsia="MS Mincho" w:cs="Times New Roman"/>
          <w:color w:val="000000" w:themeColor="text1"/>
          <w:sz w:val="32"/>
          <w:szCs w:val="32"/>
        </w:rPr>
        <w:t> </w:t>
      </w:r>
      <w:r>
        <w:rPr>
          <w:rFonts w:hint="default" w:ascii="Times New Roman" w:hAnsi="Times New Roman" w:eastAsia="仿宋" w:cs="Times New Roman"/>
          <w:color w:val="000000" w:themeColor="text1"/>
          <w:sz w:val="32"/>
          <w:szCs w:val="32"/>
        </w:rPr>
        <w:t>违反本办法第二十六条、二十七条的，依据《城镇排水与污水处理条例》等相关法律法规进行处罚，造成损失的需承担相关法律责任。</w:t>
      </w:r>
    </w:p>
    <w:p w14:paraId="0361F152">
      <w:pPr>
        <w:pStyle w:val="6"/>
        <w:shd w:val="clear" w:color="auto" w:fill="FFFFFF"/>
        <w:spacing w:before="0" w:beforeAutospacing="0" w:after="0" w:afterAutospacing="0" w:line="560" w:lineRule="exact"/>
        <w:ind w:firstLine="640" w:firstLineChars="200"/>
        <w:jc w:val="both"/>
        <w:rPr>
          <w:rFonts w:hint="default" w:ascii="Times New Roman" w:hAnsi="Times New Roman" w:cs="Times New Roman"/>
          <w:color w:val="000000" w:themeColor="text1"/>
          <w:sz w:val="45"/>
          <w:szCs w:val="45"/>
        </w:rPr>
      </w:pPr>
      <w:r>
        <w:rPr>
          <w:rFonts w:hint="default" w:ascii="Times New Roman" w:hAnsi="Times New Roman" w:eastAsia="黑体" w:cs="Times New Roman"/>
          <w:color w:val="000000" w:themeColor="text1"/>
          <w:sz w:val="32"/>
          <w:szCs w:val="32"/>
        </w:rPr>
        <w:t>第三十六条</w:t>
      </w:r>
      <w:r>
        <w:rPr>
          <w:rFonts w:hint="default" w:ascii="Times New Roman" w:hAnsi="Times New Roman" w:eastAsia="MS Mincho" w:cs="Times New Roman"/>
          <w:color w:val="000000" w:themeColor="text1"/>
          <w:sz w:val="32"/>
          <w:szCs w:val="32"/>
        </w:rPr>
        <w:t> </w:t>
      </w:r>
      <w:r>
        <w:rPr>
          <w:rFonts w:hint="default" w:ascii="Times New Roman" w:hAnsi="Times New Roman" w:eastAsia="仿宋" w:cs="Times New Roman"/>
          <w:color w:val="000000" w:themeColor="text1"/>
          <w:sz w:val="32"/>
          <w:szCs w:val="32"/>
        </w:rPr>
        <w:t>本办法自2025年</w:t>
      </w:r>
      <w:r>
        <w:rPr>
          <w:rFonts w:hint="eastAsia" w:ascii="Times New Roman" w:hAnsi="Times New Roman" w:eastAsia="仿宋" w:cs="Times New Roman"/>
          <w:color w:val="000000" w:themeColor="text1"/>
          <w:sz w:val="32"/>
          <w:szCs w:val="32"/>
          <w:lang w:val="en-US" w:eastAsia="zh-CN"/>
        </w:rPr>
        <w:t xml:space="preserve"> </w:t>
      </w:r>
      <w:r>
        <w:rPr>
          <w:rFonts w:hint="default" w:ascii="Times New Roman" w:hAnsi="Times New Roman" w:eastAsia="仿宋" w:cs="Times New Roman"/>
          <w:color w:val="000000" w:themeColor="text1"/>
          <w:sz w:val="32"/>
          <w:szCs w:val="32"/>
        </w:rPr>
        <w:t>月</w:t>
      </w:r>
      <w:r>
        <w:rPr>
          <w:rFonts w:hint="eastAsia" w:ascii="Times New Roman" w:hAnsi="Times New Roman" w:eastAsia="仿宋" w:cs="Times New Roman"/>
          <w:color w:val="000000" w:themeColor="text1"/>
          <w:sz w:val="32"/>
          <w:szCs w:val="32"/>
          <w:lang w:val="en-US" w:eastAsia="zh-CN"/>
        </w:rPr>
        <w:t xml:space="preserve"> </w:t>
      </w:r>
      <w:r>
        <w:rPr>
          <w:rFonts w:hint="default" w:ascii="Times New Roman" w:hAnsi="Times New Roman" w:eastAsia="仿宋" w:cs="Times New Roman"/>
          <w:color w:val="000000" w:themeColor="text1"/>
          <w:sz w:val="32"/>
          <w:szCs w:val="32"/>
        </w:rPr>
        <w:t>日起施行。</w:t>
      </w:r>
      <w:r>
        <w:rPr>
          <w:rFonts w:hint="default" w:ascii="Times New Roman" w:hAnsi="Times New Roman" w:eastAsia="MS Mincho" w:cs="Times New Roman"/>
          <w:color w:val="000000" w:themeColor="text1"/>
          <w:sz w:val="32"/>
          <w:szCs w:val="32"/>
        </w:rPr>
        <w:t> </w:t>
      </w:r>
    </w:p>
    <w:sectPr>
      <w:footerReference r:id="rId3" w:type="default"/>
      <w:pgSz w:w="11906" w:h="16838"/>
      <w:pgMar w:top="2098" w:right="1474" w:bottom="1985" w:left="1588"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黑体简体">
    <w:panose1 w:val="02010601030101010101"/>
    <w:charset w:val="86"/>
    <w:family w:val="auto"/>
    <w:pitch w:val="default"/>
    <w:sig w:usb0="00000001" w:usb1="080E0000" w:usb2="00000000" w:usb3="00000000" w:csb0="00040000" w:csb1="00000000"/>
  </w:font>
  <w:font w:name="方正楷体简体">
    <w:panose1 w:val="02010601030101010101"/>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C8281">
    <w:pPr>
      <w:pStyle w:val="4"/>
    </w:pPr>
    <w:r>
      <w:rPr>
        <w:sz w:val="18"/>
      </w:rPr>
      <w:pict>
        <v:shape id="_x0000_s3073" o:spid="_x0000_s3073"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79710351">
                <w:pPr>
                  <w:pStyle w:val="4"/>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czNzk4ZjRiNmRiZGVjZmEwNTFhNWRmMGNhMmRjZGMifQ=="/>
  </w:docVars>
  <w:rsids>
    <w:rsidRoot w:val="00A71405"/>
    <w:rsid w:val="000259B4"/>
    <w:rsid w:val="00050104"/>
    <w:rsid w:val="00070409"/>
    <w:rsid w:val="000D13D6"/>
    <w:rsid w:val="00104ADC"/>
    <w:rsid w:val="00140D34"/>
    <w:rsid w:val="0018615E"/>
    <w:rsid w:val="001C6262"/>
    <w:rsid w:val="001D0693"/>
    <w:rsid w:val="001E0FE6"/>
    <w:rsid w:val="001E3362"/>
    <w:rsid w:val="00216D23"/>
    <w:rsid w:val="002345B8"/>
    <w:rsid w:val="002661C1"/>
    <w:rsid w:val="002C7077"/>
    <w:rsid w:val="002D52FF"/>
    <w:rsid w:val="002F1920"/>
    <w:rsid w:val="00307239"/>
    <w:rsid w:val="00343877"/>
    <w:rsid w:val="00376716"/>
    <w:rsid w:val="00387198"/>
    <w:rsid w:val="00392988"/>
    <w:rsid w:val="003D2C50"/>
    <w:rsid w:val="003D742D"/>
    <w:rsid w:val="00402706"/>
    <w:rsid w:val="00414733"/>
    <w:rsid w:val="004324F9"/>
    <w:rsid w:val="004345F0"/>
    <w:rsid w:val="00480312"/>
    <w:rsid w:val="00481FD7"/>
    <w:rsid w:val="004A4278"/>
    <w:rsid w:val="004B6891"/>
    <w:rsid w:val="004E1C53"/>
    <w:rsid w:val="00524593"/>
    <w:rsid w:val="00527B6C"/>
    <w:rsid w:val="005656F9"/>
    <w:rsid w:val="005A456A"/>
    <w:rsid w:val="005C0AC1"/>
    <w:rsid w:val="005D0725"/>
    <w:rsid w:val="00601160"/>
    <w:rsid w:val="006042F0"/>
    <w:rsid w:val="00613DA2"/>
    <w:rsid w:val="00616F0B"/>
    <w:rsid w:val="0062244E"/>
    <w:rsid w:val="0062628B"/>
    <w:rsid w:val="006374EA"/>
    <w:rsid w:val="006738F2"/>
    <w:rsid w:val="00693B23"/>
    <w:rsid w:val="006C3C63"/>
    <w:rsid w:val="006C7E5C"/>
    <w:rsid w:val="006F5B74"/>
    <w:rsid w:val="006F5DB0"/>
    <w:rsid w:val="00700D4D"/>
    <w:rsid w:val="0073432F"/>
    <w:rsid w:val="007574F5"/>
    <w:rsid w:val="007828CB"/>
    <w:rsid w:val="00784A25"/>
    <w:rsid w:val="007B747E"/>
    <w:rsid w:val="007F7D36"/>
    <w:rsid w:val="00817170"/>
    <w:rsid w:val="00841DEC"/>
    <w:rsid w:val="00844352"/>
    <w:rsid w:val="008556A5"/>
    <w:rsid w:val="00856BDE"/>
    <w:rsid w:val="008C7CF2"/>
    <w:rsid w:val="008E0A85"/>
    <w:rsid w:val="008E7924"/>
    <w:rsid w:val="00902416"/>
    <w:rsid w:val="0092332B"/>
    <w:rsid w:val="00926A49"/>
    <w:rsid w:val="00935690"/>
    <w:rsid w:val="009807BA"/>
    <w:rsid w:val="00987A99"/>
    <w:rsid w:val="009942B8"/>
    <w:rsid w:val="009A7E64"/>
    <w:rsid w:val="009B5B8C"/>
    <w:rsid w:val="00A00483"/>
    <w:rsid w:val="00A3237A"/>
    <w:rsid w:val="00A500E8"/>
    <w:rsid w:val="00A71405"/>
    <w:rsid w:val="00AB472B"/>
    <w:rsid w:val="00B15281"/>
    <w:rsid w:val="00B31AED"/>
    <w:rsid w:val="00B33803"/>
    <w:rsid w:val="00B35F5A"/>
    <w:rsid w:val="00B4400C"/>
    <w:rsid w:val="00B54621"/>
    <w:rsid w:val="00B66430"/>
    <w:rsid w:val="00B83FE4"/>
    <w:rsid w:val="00BA6984"/>
    <w:rsid w:val="00BE0800"/>
    <w:rsid w:val="00C509CD"/>
    <w:rsid w:val="00C61993"/>
    <w:rsid w:val="00C97047"/>
    <w:rsid w:val="00CD34F6"/>
    <w:rsid w:val="00D34904"/>
    <w:rsid w:val="00D44F40"/>
    <w:rsid w:val="00D51C3A"/>
    <w:rsid w:val="00D5562F"/>
    <w:rsid w:val="00D70DB8"/>
    <w:rsid w:val="00D9003B"/>
    <w:rsid w:val="00DA3AE2"/>
    <w:rsid w:val="00DE0F94"/>
    <w:rsid w:val="00E44337"/>
    <w:rsid w:val="00E46C40"/>
    <w:rsid w:val="00E579C3"/>
    <w:rsid w:val="00E700CC"/>
    <w:rsid w:val="00E820C9"/>
    <w:rsid w:val="00E850E9"/>
    <w:rsid w:val="00E87D33"/>
    <w:rsid w:val="00EE2B03"/>
    <w:rsid w:val="00F763FA"/>
    <w:rsid w:val="00F77E11"/>
    <w:rsid w:val="00FA29A5"/>
    <w:rsid w:val="00FD5DAF"/>
    <w:rsid w:val="031C71E5"/>
    <w:rsid w:val="04602913"/>
    <w:rsid w:val="0A2509B7"/>
    <w:rsid w:val="0A7A381F"/>
    <w:rsid w:val="0CE24FE0"/>
    <w:rsid w:val="11101A23"/>
    <w:rsid w:val="1753361B"/>
    <w:rsid w:val="19DC7F27"/>
    <w:rsid w:val="20CE535B"/>
    <w:rsid w:val="249E743C"/>
    <w:rsid w:val="2D1444BC"/>
    <w:rsid w:val="33661C03"/>
    <w:rsid w:val="3A825836"/>
    <w:rsid w:val="4D74220C"/>
    <w:rsid w:val="4DB33DAF"/>
    <w:rsid w:val="504F126C"/>
    <w:rsid w:val="50952694"/>
    <w:rsid w:val="5816093F"/>
    <w:rsid w:val="5CAB6EEA"/>
    <w:rsid w:val="5CDD6AE2"/>
    <w:rsid w:val="5D625030"/>
    <w:rsid w:val="63A01519"/>
    <w:rsid w:val="676405D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3"/>
    <w:basedOn w:val="1"/>
    <w:link w:val="15"/>
    <w:qFormat/>
    <w:uiPriority w:val="9"/>
    <w:pPr>
      <w:widowControl/>
      <w:spacing w:before="100" w:beforeAutospacing="1" w:after="100" w:afterAutospacing="1"/>
      <w:jc w:val="left"/>
      <w:outlineLvl w:val="2"/>
    </w:pPr>
    <w:rPr>
      <w:rFonts w:ascii="宋体" w:hAnsi="宋体"/>
      <w:b/>
      <w:bCs/>
      <w:kern w:val="0"/>
      <w:sz w:val="27"/>
      <w:szCs w:val="27"/>
    </w:rPr>
  </w:style>
  <w:style w:type="character" w:default="1" w:styleId="8">
    <w:name w:val="Default Paragraph Font"/>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1"/>
    <w:qFormat/>
    <w:uiPriority w:val="99"/>
    <w:pPr>
      <w:spacing w:after="120"/>
    </w:pPr>
    <w:rPr>
      <w:sz w:val="28"/>
      <w:szCs w:val="2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link w:val="16"/>
    <w:unhideWhenUsed/>
    <w:qFormat/>
    <w:uiPriority w:val="99"/>
    <w:pPr>
      <w:widowControl/>
      <w:spacing w:before="100" w:beforeAutospacing="1" w:after="100" w:afterAutospacing="1"/>
      <w:jc w:val="left"/>
    </w:pPr>
    <w:rPr>
      <w:rFonts w:ascii="宋体" w:hAnsi="宋体"/>
      <w:kern w:val="0"/>
      <w:sz w:val="24"/>
    </w:rPr>
  </w:style>
  <w:style w:type="character" w:styleId="9">
    <w:name w:val="Strong"/>
    <w:basedOn w:val="8"/>
    <w:qFormat/>
    <w:uiPriority w:val="22"/>
    <w:rPr>
      <w:b/>
      <w:bCs/>
    </w:rPr>
  </w:style>
  <w:style w:type="character" w:styleId="10">
    <w:name w:val="Emphasis"/>
    <w:basedOn w:val="8"/>
    <w:qFormat/>
    <w:uiPriority w:val="20"/>
    <w:rPr>
      <w:i/>
      <w:iCs/>
    </w:rPr>
  </w:style>
  <w:style w:type="character" w:customStyle="1" w:styleId="11">
    <w:name w:val="正文文本 Char"/>
    <w:basedOn w:val="8"/>
    <w:link w:val="2"/>
    <w:qFormat/>
    <w:uiPriority w:val="99"/>
    <w:rPr>
      <w:rFonts w:ascii="Calibri" w:hAnsi="Calibri" w:eastAsia="宋体" w:cs="宋体"/>
      <w:sz w:val="28"/>
      <w:szCs w:val="28"/>
    </w:rPr>
  </w:style>
  <w:style w:type="paragraph" w:styleId="12">
    <w:name w:val="List Paragraph"/>
    <w:basedOn w:val="1"/>
    <w:autoRedefine/>
    <w:qFormat/>
    <w:uiPriority w:val="34"/>
    <w:pPr>
      <w:ind w:firstLine="420" w:firstLineChars="200"/>
    </w:pPr>
  </w:style>
  <w:style w:type="character" w:customStyle="1" w:styleId="13">
    <w:name w:val="页眉 Char"/>
    <w:basedOn w:val="8"/>
    <w:link w:val="5"/>
    <w:autoRedefine/>
    <w:qFormat/>
    <w:uiPriority w:val="99"/>
    <w:rPr>
      <w:rFonts w:ascii="Calibri" w:hAnsi="Calibri" w:eastAsia="宋体" w:cs="宋体"/>
      <w:sz w:val="18"/>
      <w:szCs w:val="18"/>
    </w:rPr>
  </w:style>
  <w:style w:type="character" w:customStyle="1" w:styleId="14">
    <w:name w:val="页脚 Char"/>
    <w:basedOn w:val="8"/>
    <w:link w:val="4"/>
    <w:autoRedefine/>
    <w:qFormat/>
    <w:uiPriority w:val="99"/>
    <w:rPr>
      <w:rFonts w:ascii="Calibri" w:hAnsi="Calibri" w:eastAsia="宋体" w:cs="宋体"/>
      <w:sz w:val="18"/>
      <w:szCs w:val="18"/>
    </w:rPr>
  </w:style>
  <w:style w:type="character" w:customStyle="1" w:styleId="15">
    <w:name w:val="标题 3 Char"/>
    <w:basedOn w:val="8"/>
    <w:link w:val="3"/>
    <w:qFormat/>
    <w:uiPriority w:val="9"/>
    <w:rPr>
      <w:rFonts w:ascii="宋体" w:hAnsi="宋体" w:eastAsia="宋体" w:cs="宋体"/>
      <w:b/>
      <w:bCs/>
      <w:sz w:val="27"/>
      <w:szCs w:val="27"/>
    </w:rPr>
  </w:style>
  <w:style w:type="character" w:customStyle="1" w:styleId="16">
    <w:name w:val="普通(网站) Char"/>
    <w:link w:val="6"/>
    <w:qFormat/>
    <w:uiPriority w:val="99"/>
    <w:rPr>
      <w:rFonts w:ascii="宋体" w:hAnsi="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3073"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4389</Words>
  <Characters>4393</Characters>
  <Lines>31</Lines>
  <Paragraphs>8</Paragraphs>
  <TotalTime>16</TotalTime>
  <ScaleCrop>false</ScaleCrop>
  <LinksUpToDate>false</LinksUpToDate>
  <CharactersWithSpaces>4406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2024-11-12T08:35:00Z</dcterms:created>
  <dc:creator>Lenovo</dc:creator>
  <cp:lastModifiedBy>十年砍柴</cp:lastModifiedBy>
  <cp:lastPrinted>2025-03-19T04:57:05Z</cp:lastPrinted>
  <dcterms:modified xsi:type="dcterms:W3CDTF">2025-03-19T05:04:01Z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FF746F110903451B835184630788809D</vt:lpwstr>
  </property>
  <property fmtid="{D5CDD505-2E9C-101B-9397-08002B2CF9AE}" pid="4" name="KSOTemplateDocerSaveRecord">
    <vt:lpwstr>eyJoZGlkIjoiMjczNzk4ZjRiNmRiZGVjZmEwNTFhNWRmMGNhMmRjZGMiLCJ1c2VySWQiOiIzMTQwODUxOTUifQ==</vt:lpwstr>
  </property>
</Properties>
</file>