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第</w:t>
      </w:r>
      <w:r>
        <w:rPr>
          <w:rFonts w:hint="default" w:ascii="Times New Roman" w:hAnsi="Times New Roman" w:eastAsia="方正小标宋简体" w:cs="Times New Roman"/>
          <w:sz w:val="44"/>
          <w:szCs w:val="44"/>
          <w:lang w:eastAsia="zh-CN"/>
        </w:rPr>
        <w:t>十三师新星市</w:t>
      </w:r>
      <w:r>
        <w:rPr>
          <w:rFonts w:hint="default" w:ascii="Times New Roman" w:hAnsi="Times New Roman" w:eastAsia="方正小标宋简体" w:cs="Times New Roman"/>
          <w:sz w:val="44"/>
          <w:szCs w:val="44"/>
        </w:rPr>
        <w:t>招商引资优惠政策</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楷体简体" w:cs="Times New Roman"/>
          <w:sz w:val="32"/>
          <w:szCs w:val="32"/>
          <w:lang w:eastAsia="zh-CN"/>
        </w:rPr>
      </w:pPr>
      <w:r>
        <w:rPr>
          <w:rFonts w:hint="default" w:ascii="Times New Roman" w:hAnsi="Times New Roman" w:eastAsia="方正楷体简体" w:cs="Times New Roman"/>
          <w:sz w:val="32"/>
          <w:szCs w:val="32"/>
          <w:lang w:eastAsia="zh-CN"/>
        </w:rPr>
        <w:t>（</w:t>
      </w:r>
      <w:r>
        <w:rPr>
          <w:rFonts w:hint="eastAsia" w:ascii="Times New Roman" w:hAnsi="Times New Roman" w:eastAsia="方正楷体简体" w:cs="Times New Roman"/>
          <w:sz w:val="32"/>
          <w:szCs w:val="32"/>
          <w:lang w:eastAsia="zh-CN"/>
        </w:rPr>
        <w:t>征求意见</w:t>
      </w:r>
      <w:r>
        <w:rPr>
          <w:rFonts w:hint="default" w:ascii="Times New Roman" w:hAnsi="Times New Roman" w:eastAsia="方正楷体简体" w:cs="Times New Roman"/>
          <w:sz w:val="32"/>
          <w:szCs w:val="32"/>
          <w:lang w:val="en-US" w:eastAsia="zh-CN"/>
        </w:rPr>
        <w:t>稿</w:t>
      </w:r>
      <w:r>
        <w:rPr>
          <w:rFonts w:hint="default" w:ascii="Times New Roman" w:hAnsi="Times New Roman" w:eastAsia="方正楷体简体"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第一章  总则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rPr>
        <w:t>第一条</w:t>
      </w:r>
      <w:r>
        <w:rPr>
          <w:rFonts w:hint="default" w:ascii="Times New Roman" w:hAnsi="Times New Roman" w:eastAsia="方正仿宋简体" w:cs="Times New Roman"/>
          <w:sz w:val="32"/>
          <w:szCs w:val="32"/>
        </w:rPr>
        <w:t xml:space="preserve">  为进一步鼓励、支持国内外投资者到第</w:t>
      </w:r>
      <w:r>
        <w:rPr>
          <w:rFonts w:hint="default" w:ascii="Times New Roman" w:hAnsi="Times New Roman" w:eastAsia="方正仿宋简体" w:cs="Times New Roman"/>
          <w:sz w:val="32"/>
          <w:szCs w:val="32"/>
          <w:lang w:eastAsia="zh-CN"/>
        </w:rPr>
        <w:t>十三师新星市</w:t>
      </w:r>
      <w:r>
        <w:rPr>
          <w:rFonts w:hint="default" w:ascii="Times New Roman" w:hAnsi="Times New Roman" w:eastAsia="方正仿宋简体" w:cs="Times New Roman"/>
          <w:sz w:val="32"/>
          <w:szCs w:val="32"/>
        </w:rPr>
        <w:t>投资兴业，加快推进城镇化、新型工业化、农业现代化建设进程，</w:t>
      </w:r>
      <w:r>
        <w:rPr>
          <w:rFonts w:hint="default" w:ascii="Times New Roman" w:hAnsi="Times New Roman" w:eastAsia="方正仿宋简体" w:cs="Times New Roman"/>
          <w:sz w:val="32"/>
          <w:szCs w:val="32"/>
          <w:lang w:eastAsia="zh-CN"/>
        </w:rPr>
        <w:t>推动十三师新星市</w:t>
      </w:r>
      <w:r>
        <w:rPr>
          <w:rFonts w:hint="default" w:ascii="Times New Roman" w:hAnsi="Times New Roman" w:eastAsia="方正仿宋简体" w:cs="Times New Roman"/>
          <w:sz w:val="32"/>
          <w:szCs w:val="32"/>
        </w:rPr>
        <w:t>经济社会高质量、可持续发展，根据有关法律、法规和政策规定，结合实际制定本优惠政策。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rPr>
        <w:t>第二条</w:t>
      </w:r>
      <w:r>
        <w:rPr>
          <w:rFonts w:hint="default" w:ascii="Times New Roman" w:hAnsi="Times New Roman" w:eastAsia="方正仿宋简体" w:cs="Times New Roman"/>
          <w:sz w:val="32"/>
          <w:szCs w:val="32"/>
        </w:rPr>
        <w:t xml:space="preserve">  招商引资坚持企业实力优先、精深加工优先、高新科技优先、效益就业优先、环保低耗（符合环保产业政策）优先、集聚人口优先的原则。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第二章  产业导向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rPr>
        <w:t>第</w:t>
      </w:r>
      <w:r>
        <w:rPr>
          <w:rFonts w:hint="default" w:ascii="Times New Roman" w:hAnsi="Times New Roman" w:eastAsia="方正黑体简体" w:cs="Times New Roman"/>
          <w:sz w:val="32"/>
          <w:szCs w:val="32"/>
          <w:lang w:eastAsia="zh-CN"/>
        </w:rPr>
        <w:t>三</w:t>
      </w:r>
      <w:r>
        <w:rPr>
          <w:rFonts w:hint="default" w:ascii="Times New Roman" w:hAnsi="Times New Roman" w:eastAsia="方正黑体简体" w:cs="Times New Roman"/>
          <w:sz w:val="32"/>
          <w:szCs w:val="32"/>
        </w:rPr>
        <w:t>条</w:t>
      </w:r>
      <w:r>
        <w:rPr>
          <w:rFonts w:hint="default" w:ascii="Times New Roman" w:hAnsi="Times New Roman" w:eastAsia="方正仿宋简体" w:cs="Times New Roman"/>
          <w:sz w:val="32"/>
          <w:szCs w:val="32"/>
        </w:rPr>
        <w:t xml:space="preserve">  围绕师市“3+3+4”产业布局，以特色优势产业为主攻方向，持续深化产业链精准招商，加快推动师市产业转型升级，构建“大项目引领、小项目集聚”的发展格局。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rPr>
        <w:t>（一）三大主导产业。绿色化工</w:t>
      </w:r>
      <w:r>
        <w:rPr>
          <w:rFonts w:hint="eastAsia" w:ascii="Times New Roman" w:hAnsi="Times New Roman" w:eastAsia="方正仿宋简体" w:cs="Times New Roman"/>
          <w:sz w:val="32"/>
          <w:szCs w:val="32"/>
          <w:lang w:eastAsia="zh-CN"/>
        </w:rPr>
        <w:t>产业</w:t>
      </w:r>
      <w:r>
        <w:rPr>
          <w:rFonts w:hint="default" w:ascii="Times New Roman" w:hAnsi="Times New Roman" w:eastAsia="方正仿宋简体" w:cs="Times New Roman"/>
          <w:sz w:val="32"/>
          <w:szCs w:val="32"/>
        </w:rPr>
        <w:t>以</w:t>
      </w:r>
      <w:r>
        <w:rPr>
          <w:rFonts w:hint="eastAsia" w:ascii="Times New Roman" w:hAnsi="Times New Roman" w:eastAsia="方正仿宋简体" w:cs="Times New Roman"/>
          <w:sz w:val="32"/>
          <w:szCs w:val="32"/>
          <w:lang w:eastAsia="zh-CN"/>
        </w:rPr>
        <w:t>现代</w:t>
      </w:r>
      <w:r>
        <w:rPr>
          <w:rFonts w:hint="default" w:ascii="Times New Roman" w:hAnsi="Times New Roman" w:eastAsia="方正仿宋简体" w:cs="Times New Roman"/>
          <w:sz w:val="32"/>
          <w:szCs w:val="32"/>
        </w:rPr>
        <w:t>煤化工为</w:t>
      </w:r>
      <w:r>
        <w:rPr>
          <w:rFonts w:hint="eastAsia" w:ascii="Times New Roman" w:hAnsi="Times New Roman" w:eastAsia="方正仿宋简体" w:cs="Times New Roman"/>
          <w:sz w:val="32"/>
          <w:szCs w:val="32"/>
          <w:lang w:eastAsia="zh-CN"/>
        </w:rPr>
        <w:t>重点</w:t>
      </w:r>
      <w:r>
        <w:rPr>
          <w:rFonts w:hint="default" w:ascii="Times New Roman" w:hAnsi="Times New Roman" w:eastAsia="方正仿宋简体" w:cs="Times New Roman"/>
          <w:sz w:val="32"/>
          <w:szCs w:val="32"/>
        </w:rPr>
        <w:t>，推动</w:t>
      </w:r>
      <w:r>
        <w:rPr>
          <w:rFonts w:hint="eastAsia" w:ascii="Times New Roman" w:hAnsi="Times New Roman" w:eastAsia="方正仿宋简体" w:cs="Times New Roman"/>
          <w:sz w:val="32"/>
          <w:szCs w:val="32"/>
          <w:lang w:eastAsia="zh-CN"/>
        </w:rPr>
        <w:t>产业从</w:t>
      </w:r>
      <w:r>
        <w:rPr>
          <w:rFonts w:hint="default" w:ascii="Times New Roman" w:hAnsi="Times New Roman" w:eastAsia="方正仿宋简体" w:cs="Times New Roman"/>
          <w:sz w:val="32"/>
          <w:szCs w:val="32"/>
        </w:rPr>
        <w:t>“原料初级加工”向“煤基精细化工+循环利用”转型，</w:t>
      </w:r>
      <w:r>
        <w:rPr>
          <w:rFonts w:hint="eastAsia" w:ascii="Times New Roman" w:hAnsi="Times New Roman" w:eastAsia="方正仿宋简体" w:cs="Times New Roman"/>
          <w:sz w:val="32"/>
          <w:szCs w:val="32"/>
          <w:lang w:eastAsia="zh-CN"/>
        </w:rPr>
        <w:t>打造兵团绿色化工基地。</w:t>
      </w:r>
      <w:r>
        <w:rPr>
          <w:rFonts w:hint="default" w:ascii="Times New Roman" w:hAnsi="Times New Roman" w:eastAsia="方正仿宋简体" w:cs="Times New Roman"/>
          <w:sz w:val="32"/>
          <w:szCs w:val="32"/>
        </w:rPr>
        <w:t>新型冶金</w:t>
      </w:r>
      <w:r>
        <w:rPr>
          <w:rFonts w:hint="eastAsia" w:ascii="Times New Roman" w:hAnsi="Times New Roman" w:eastAsia="方正仿宋简体" w:cs="Times New Roman"/>
          <w:sz w:val="32"/>
          <w:szCs w:val="32"/>
          <w:lang w:eastAsia="zh-CN"/>
        </w:rPr>
        <w:t>产业</w:t>
      </w:r>
      <w:r>
        <w:rPr>
          <w:rFonts w:hint="default" w:ascii="Times New Roman" w:hAnsi="Times New Roman" w:eastAsia="方正仿宋简体" w:cs="Times New Roman"/>
          <w:sz w:val="32"/>
          <w:szCs w:val="32"/>
        </w:rPr>
        <w:t>以铝</w:t>
      </w:r>
      <w:r>
        <w:rPr>
          <w:rFonts w:hint="eastAsia" w:ascii="Times New Roman" w:hAnsi="Times New Roman" w:eastAsia="方正仿宋简体" w:cs="Times New Roman"/>
          <w:sz w:val="32"/>
          <w:szCs w:val="32"/>
          <w:lang w:eastAsia="zh-CN"/>
        </w:rPr>
        <w:t>基</w:t>
      </w:r>
      <w:r>
        <w:rPr>
          <w:rFonts w:hint="default" w:ascii="Times New Roman" w:hAnsi="Times New Roman" w:eastAsia="方正仿宋简体" w:cs="Times New Roman"/>
          <w:sz w:val="32"/>
          <w:szCs w:val="32"/>
        </w:rPr>
        <w:t>、镁</w:t>
      </w:r>
      <w:r>
        <w:rPr>
          <w:rFonts w:hint="eastAsia" w:ascii="Times New Roman" w:hAnsi="Times New Roman" w:eastAsia="方正仿宋简体" w:cs="Times New Roman"/>
          <w:sz w:val="32"/>
          <w:szCs w:val="32"/>
          <w:lang w:eastAsia="zh-CN"/>
        </w:rPr>
        <w:t>基新材料</w:t>
      </w:r>
      <w:r>
        <w:rPr>
          <w:rFonts w:hint="default" w:ascii="Times New Roman" w:hAnsi="Times New Roman" w:eastAsia="方正仿宋简体" w:cs="Times New Roman"/>
          <w:sz w:val="32"/>
          <w:szCs w:val="32"/>
        </w:rPr>
        <w:t>精深加工为重点，</w:t>
      </w:r>
      <w:r>
        <w:rPr>
          <w:rFonts w:hint="eastAsia" w:ascii="Times New Roman" w:hAnsi="Times New Roman" w:eastAsia="方正仿宋简体" w:cs="Times New Roman"/>
          <w:sz w:val="32"/>
          <w:szCs w:val="32"/>
          <w:lang w:eastAsia="zh-CN"/>
        </w:rPr>
        <w:t>推动产业从“规模扩张”向“精深加工</w:t>
      </w:r>
      <w:r>
        <w:rPr>
          <w:rFonts w:hint="eastAsia" w:ascii="Times New Roman" w:hAnsi="Times New Roman" w:eastAsia="方正仿宋简体" w:cs="Times New Roman"/>
          <w:sz w:val="32"/>
          <w:szCs w:val="32"/>
          <w:lang w:val="en-US" w:eastAsia="zh-CN"/>
        </w:rPr>
        <w:t>+绿电赋能</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lang w:val="en-US" w:eastAsia="zh-CN"/>
        </w:rPr>
        <w:t>转型，打造兵团新型冶金基地</w:t>
      </w:r>
      <w:r>
        <w:rPr>
          <w:rFonts w:hint="default" w:ascii="Times New Roman" w:hAnsi="Times New Roman" w:eastAsia="方正仿宋简体" w:cs="Times New Roman"/>
          <w:sz w:val="32"/>
          <w:szCs w:val="32"/>
        </w:rPr>
        <w:t>。综合能源</w:t>
      </w:r>
      <w:r>
        <w:rPr>
          <w:rFonts w:hint="eastAsia" w:ascii="Times New Roman" w:hAnsi="Times New Roman" w:eastAsia="方正仿宋简体" w:cs="Times New Roman"/>
          <w:sz w:val="32"/>
          <w:szCs w:val="32"/>
          <w:lang w:eastAsia="zh-CN"/>
        </w:rPr>
        <w:t>产业</w:t>
      </w:r>
      <w:r>
        <w:rPr>
          <w:rFonts w:hint="default" w:ascii="Times New Roman" w:hAnsi="Times New Roman" w:eastAsia="方正仿宋简体" w:cs="Times New Roman"/>
          <w:sz w:val="32"/>
          <w:szCs w:val="32"/>
        </w:rPr>
        <w:t>以风光水储</w:t>
      </w:r>
      <w:r>
        <w:rPr>
          <w:rFonts w:hint="eastAsia" w:ascii="Times New Roman" w:hAnsi="Times New Roman" w:eastAsia="方正仿宋简体" w:cs="Times New Roman"/>
          <w:sz w:val="32"/>
          <w:szCs w:val="32"/>
          <w:lang w:eastAsia="zh-CN"/>
        </w:rPr>
        <w:t>多能</w:t>
      </w:r>
      <w:r>
        <w:rPr>
          <w:rFonts w:hint="default" w:ascii="Times New Roman" w:hAnsi="Times New Roman" w:eastAsia="方正仿宋简体" w:cs="Times New Roman"/>
          <w:sz w:val="32"/>
          <w:szCs w:val="32"/>
        </w:rPr>
        <w:t>互补为</w:t>
      </w:r>
      <w:r>
        <w:rPr>
          <w:rFonts w:hint="eastAsia" w:ascii="Times New Roman" w:hAnsi="Times New Roman" w:eastAsia="方正仿宋简体" w:cs="Times New Roman"/>
          <w:sz w:val="32"/>
          <w:szCs w:val="32"/>
          <w:lang w:eastAsia="zh-CN"/>
        </w:rPr>
        <w:t>重点</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eastAsia="zh-CN"/>
        </w:rPr>
        <w:t>推动产业从“单一能源开发”向“多能互补</w:t>
      </w:r>
      <w:r>
        <w:rPr>
          <w:rFonts w:hint="eastAsia" w:ascii="Times New Roman" w:hAnsi="Times New Roman" w:eastAsia="方正仿宋简体" w:cs="Times New Roman"/>
          <w:sz w:val="32"/>
          <w:szCs w:val="32"/>
          <w:lang w:val="en-US" w:eastAsia="zh-CN"/>
        </w:rPr>
        <w:t>+绿电直供</w:t>
      </w:r>
      <w:r>
        <w:rPr>
          <w:rFonts w:hint="eastAsia" w:ascii="Times New Roman" w:hAnsi="Times New Roman" w:eastAsia="方正仿宋简体" w:cs="Times New Roman"/>
          <w:sz w:val="32"/>
          <w:szCs w:val="32"/>
          <w:lang w:eastAsia="zh-CN"/>
        </w:rPr>
        <w:t>”转型，打造兵团综合能源发展基地。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eastAsia="zh-CN"/>
        </w:rPr>
      </w:pPr>
      <w:r>
        <w:rPr>
          <w:rFonts w:hint="default" w:ascii="Times New Roman" w:hAnsi="Times New Roman" w:eastAsia="方正仿宋简体" w:cs="Times New Roman"/>
          <w:sz w:val="32"/>
          <w:szCs w:val="32"/>
        </w:rPr>
        <w:t>（二）三大优势产业。</w:t>
      </w:r>
      <w:r>
        <w:rPr>
          <w:rFonts w:hint="eastAsia" w:ascii="Times New Roman" w:hAnsi="Times New Roman" w:eastAsia="方正仿宋简体" w:cs="Times New Roman"/>
          <w:sz w:val="32"/>
          <w:szCs w:val="32"/>
          <w:lang w:eastAsia="zh-CN"/>
        </w:rPr>
        <w:t>高端装备制造产业以煤化工专用装备、冶金配套设备、能源装备为重点，推动产业从“通用设备加工”向“专用装备定制</w:t>
      </w:r>
      <w:r>
        <w:rPr>
          <w:rFonts w:hint="eastAsia" w:ascii="Times New Roman" w:hAnsi="Times New Roman" w:eastAsia="方正仿宋简体" w:cs="Times New Roman"/>
          <w:sz w:val="32"/>
          <w:szCs w:val="32"/>
          <w:lang w:val="en-US" w:eastAsia="zh-CN"/>
        </w:rPr>
        <w:t>+智能运维服务</w:t>
      </w:r>
      <w:r>
        <w:rPr>
          <w:rFonts w:hint="eastAsia" w:ascii="Times New Roman" w:hAnsi="Times New Roman" w:eastAsia="方正仿宋简体" w:cs="Times New Roman"/>
          <w:sz w:val="32"/>
          <w:szCs w:val="32"/>
          <w:lang w:eastAsia="zh-CN"/>
        </w:rPr>
        <w:t>”转型，形成百亿级装备制造产业集群。现代物流产业以公铁联运、工业品出疆、跨境物流为重点，推动产业从“传统货运配送”向“智慧物流</w:t>
      </w:r>
      <w:r>
        <w:rPr>
          <w:rFonts w:hint="eastAsia" w:ascii="Times New Roman" w:hAnsi="Times New Roman" w:eastAsia="方正仿宋简体" w:cs="Times New Roman"/>
          <w:sz w:val="32"/>
          <w:szCs w:val="32"/>
          <w:lang w:val="en-US" w:eastAsia="zh-CN"/>
        </w:rPr>
        <w:t>+供应链服务</w:t>
      </w:r>
      <w:r>
        <w:rPr>
          <w:rFonts w:hint="eastAsia" w:ascii="Times New Roman" w:hAnsi="Times New Roman" w:eastAsia="方正仿宋简体" w:cs="Times New Roman"/>
          <w:sz w:val="32"/>
          <w:szCs w:val="32"/>
          <w:lang w:eastAsia="zh-CN"/>
        </w:rPr>
        <w:t>”转型，打造具有区域竞争力的现代物流体系。数字经济（算力）产业以“东数西算”节点建设为重点，推动产业从“基础算力出租”向“智能算力服务</w:t>
      </w:r>
      <w:r>
        <w:rPr>
          <w:rFonts w:hint="eastAsia" w:ascii="Times New Roman" w:hAnsi="Times New Roman" w:eastAsia="方正仿宋简体" w:cs="Times New Roman"/>
          <w:sz w:val="32"/>
          <w:szCs w:val="32"/>
          <w:lang w:val="en-US" w:eastAsia="zh-CN"/>
        </w:rPr>
        <w:t>+产业数智改造</w:t>
      </w:r>
      <w:r>
        <w:rPr>
          <w:rFonts w:hint="eastAsia" w:ascii="Times New Roman" w:hAnsi="Times New Roman" w:eastAsia="方正仿宋简体" w:cs="Times New Roman"/>
          <w:sz w:val="32"/>
          <w:szCs w:val="32"/>
          <w:lang w:eastAsia="zh-CN"/>
        </w:rPr>
        <w:t>”转型，构建“基础设施</w:t>
      </w:r>
      <w:r>
        <w:rPr>
          <w:rFonts w:hint="eastAsia" w:ascii="Times New Roman" w:hAnsi="Times New Roman" w:eastAsia="方正仿宋简体" w:cs="Times New Roman"/>
          <w:sz w:val="32"/>
          <w:szCs w:val="32"/>
          <w:lang w:val="en-US" w:eastAsia="zh-CN"/>
        </w:rPr>
        <w:t>-算力服务-应用生态</w:t>
      </w:r>
      <w:r>
        <w:rPr>
          <w:rFonts w:hint="eastAsia" w:ascii="Times New Roman" w:hAnsi="Times New Roman" w:eastAsia="方正仿宋简体" w:cs="Times New Roman"/>
          <w:sz w:val="32"/>
          <w:szCs w:val="32"/>
          <w:lang w:eastAsia="zh-CN"/>
        </w:rPr>
        <w:t>”协同发展的产业体系。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rPr>
        <w:t>（三）四大新兴产业。</w:t>
      </w:r>
      <w:r>
        <w:rPr>
          <w:rFonts w:hint="eastAsia" w:ascii="Times New Roman" w:hAnsi="Times New Roman" w:eastAsia="方正仿宋简体" w:cs="Times New Roman"/>
          <w:sz w:val="32"/>
          <w:szCs w:val="32"/>
          <w:lang w:eastAsia="zh-CN"/>
        </w:rPr>
        <w:t>新材料产业围绕煤基、碳基、铝基、镁基、硅基优势方向，推动延链补链强链，构建“研发</w:t>
      </w:r>
      <w:r>
        <w:rPr>
          <w:rFonts w:hint="eastAsia" w:ascii="Times New Roman" w:hAnsi="Times New Roman" w:eastAsia="方正仿宋简体" w:cs="Times New Roman"/>
          <w:sz w:val="32"/>
          <w:szCs w:val="32"/>
          <w:lang w:val="en-US" w:eastAsia="zh-CN"/>
        </w:rPr>
        <w:t>-生产-应用</w:t>
      </w:r>
      <w:r>
        <w:rPr>
          <w:rFonts w:hint="eastAsia" w:ascii="Times New Roman" w:hAnsi="Times New Roman" w:eastAsia="方正仿宋简体" w:cs="Times New Roman"/>
          <w:sz w:val="32"/>
          <w:szCs w:val="32"/>
          <w:lang w:eastAsia="zh-CN"/>
        </w:rPr>
        <w:t>”全链条产业生态。节能环保产业聚焦工业节能改造、污水处理、固废资源化利用重点领域，推广先进节能装备与技术，构建绿色循环服务体系。智慧农业聚焦农田建设、智能农机应用、农产品溯源重点领域，以培育智慧农场、植物工厂新模式为抓手，推广农业</w:t>
      </w:r>
      <w:r>
        <w:rPr>
          <w:rFonts w:hint="eastAsia" w:ascii="Times New Roman" w:hAnsi="Times New Roman" w:eastAsia="方正仿宋简体" w:cs="Times New Roman"/>
          <w:sz w:val="32"/>
          <w:szCs w:val="32"/>
          <w:lang w:val="en-US" w:eastAsia="zh-CN"/>
        </w:rPr>
        <w:t>AI与物联网技术，实现农业生产全链条智能化管理。低空经济依托通用机场建设，拓展“低空+物流+文旅+农业+救援”应用场景，培育经营主体，打造低空经济新业态。</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第三章  各类优惠政策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w:t>
      </w:r>
      <w:r>
        <w:rPr>
          <w:rFonts w:hint="default" w:ascii="Times New Roman" w:hAnsi="Times New Roman" w:eastAsia="方正黑体简体" w:cs="Times New Roman"/>
          <w:sz w:val="32"/>
          <w:szCs w:val="32"/>
          <w:lang w:eastAsia="zh-CN"/>
        </w:rPr>
        <w:t>四</w:t>
      </w:r>
      <w:r>
        <w:rPr>
          <w:rFonts w:hint="default" w:ascii="Times New Roman" w:hAnsi="Times New Roman" w:eastAsia="方正黑体简体" w:cs="Times New Roman"/>
          <w:sz w:val="32"/>
          <w:szCs w:val="32"/>
        </w:rPr>
        <w:t xml:space="preserve">条  </w:t>
      </w:r>
      <w:r>
        <w:rPr>
          <w:rFonts w:hint="default" w:ascii="Times New Roman" w:hAnsi="Times New Roman" w:eastAsia="方正仿宋简体" w:cs="Times New Roman"/>
          <w:sz w:val="32"/>
          <w:szCs w:val="32"/>
        </w:rPr>
        <w:t>税收政策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rPr>
      </w:pPr>
      <w:r>
        <w:rPr>
          <w:rFonts w:hint="default" w:ascii="Times New Roman" w:hAnsi="Times New Roman" w:eastAsia="方正仿宋简体" w:cs="Times New Roman"/>
          <w:sz w:val="32"/>
          <w:szCs w:val="32"/>
          <w:u w:val="none"/>
        </w:rPr>
        <w:t>（一）对</w:t>
      </w:r>
      <w:r>
        <w:rPr>
          <w:rFonts w:hint="default" w:ascii="Times New Roman" w:hAnsi="Times New Roman" w:eastAsia="方正仿宋简体" w:cs="Times New Roman"/>
          <w:sz w:val="32"/>
          <w:szCs w:val="32"/>
          <w:u w:val="none"/>
          <w:lang w:eastAsia="zh-CN"/>
        </w:rPr>
        <w:t>在十三师新星市</w:t>
      </w:r>
      <w:r>
        <w:rPr>
          <w:rFonts w:hint="default" w:ascii="Times New Roman" w:hAnsi="Times New Roman" w:eastAsia="方正仿宋简体" w:cs="Times New Roman"/>
          <w:sz w:val="32"/>
          <w:szCs w:val="32"/>
          <w:u w:val="none"/>
        </w:rPr>
        <w:t>新办的属于《新疆困难地区重点鼓励发展产业企业所得税优惠目录》范围内的企业，自取得第一笔生产经营收入所属纳税年度起，第一年至第二年免征企业所得税，第三年至第五年减半征收企业所得税。</w:t>
      </w:r>
      <w:r>
        <w:rPr>
          <w:rFonts w:hint="default" w:ascii="Times New Roman" w:hAnsi="Times New Roman" w:eastAsia="方正仿宋简体" w:cs="Times New Roman"/>
          <w:sz w:val="32"/>
          <w:szCs w:val="32"/>
          <w:u w:val="none"/>
          <w:lang w:eastAsia="zh-CN"/>
        </w:rPr>
        <w:t>（《财政部</w:t>
      </w:r>
      <w:r>
        <w:rPr>
          <w:rFonts w:hint="default" w:ascii="Times New Roman" w:hAnsi="Times New Roman" w:eastAsia="方正仿宋简体" w:cs="Times New Roman"/>
          <w:sz w:val="32"/>
          <w:szCs w:val="32"/>
          <w:u w:val="none"/>
          <w:lang w:val="en-US" w:eastAsia="zh-CN"/>
        </w:rPr>
        <w:t xml:space="preserve"> 税务总局关于新疆困难地区及喀什、霍尔果斯两个特殊经济技术开发区新办企业所得税优惠政策的通知</w:t>
      </w:r>
      <w:r>
        <w:rPr>
          <w:rFonts w:hint="default" w:ascii="Times New Roman" w:hAnsi="Times New Roman" w:eastAsia="方正仿宋简体" w:cs="Times New Roman"/>
          <w:sz w:val="32"/>
          <w:szCs w:val="32"/>
          <w:u w:val="none"/>
          <w:lang w:eastAsia="zh-CN"/>
        </w:rPr>
        <w:t>》财税〔</w:t>
      </w:r>
      <w:r>
        <w:rPr>
          <w:rFonts w:hint="default" w:ascii="Times New Roman" w:hAnsi="Times New Roman" w:eastAsia="方正仿宋简体" w:cs="Times New Roman"/>
          <w:sz w:val="32"/>
          <w:szCs w:val="32"/>
          <w:u w:val="none"/>
          <w:lang w:val="en-US" w:eastAsia="zh-CN"/>
        </w:rPr>
        <w:t>2021</w:t>
      </w:r>
      <w:r>
        <w:rPr>
          <w:rFonts w:hint="default" w:ascii="Times New Roman" w:hAnsi="Times New Roman" w:eastAsia="方正仿宋简体" w:cs="Times New Roman"/>
          <w:sz w:val="32"/>
          <w:szCs w:val="32"/>
          <w:u w:val="none"/>
          <w:lang w:eastAsia="zh-CN"/>
        </w:rPr>
        <w:t>〕</w:t>
      </w:r>
      <w:r>
        <w:rPr>
          <w:rFonts w:hint="default" w:ascii="Times New Roman" w:hAnsi="Times New Roman" w:eastAsia="方正仿宋简体" w:cs="Times New Roman"/>
          <w:sz w:val="32"/>
          <w:szCs w:val="32"/>
          <w:u w:val="none"/>
          <w:lang w:val="en-US" w:eastAsia="zh-CN"/>
        </w:rPr>
        <w:t>27号，政策执行期限2021年1月1日至2030年12月31日</w:t>
      </w:r>
      <w:r>
        <w:rPr>
          <w:rFonts w:hint="default" w:ascii="Times New Roman" w:hAnsi="Times New Roman" w:eastAsia="方正仿宋简体" w:cs="Times New Roman"/>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60"/>
        <w:textAlignment w:val="auto"/>
        <w:rPr>
          <w:rFonts w:hint="default" w:ascii="Times New Roman" w:hAnsi="Times New Roman" w:eastAsia="方正仿宋简体" w:cs="Times New Roman"/>
          <w:strike w:val="0"/>
          <w:dstrike w:val="0"/>
          <w:sz w:val="32"/>
          <w:szCs w:val="32"/>
        </w:rPr>
      </w:pPr>
      <w:r>
        <w:rPr>
          <w:rFonts w:hint="default" w:ascii="Times New Roman" w:hAnsi="Times New Roman" w:eastAsia="方正仿宋简体" w:cs="Times New Roman"/>
          <w:strike w:val="0"/>
          <w:dstrike w:val="0"/>
          <w:sz w:val="32"/>
          <w:szCs w:val="32"/>
        </w:rPr>
        <w:t>（二）企业从事国家重点扶持的公共基础设施项目投资经营的所得，以及从事符合条件的环境保护</w:t>
      </w:r>
      <w:r>
        <w:rPr>
          <w:rFonts w:hint="eastAsia" w:ascii="Times New Roman" w:hAnsi="Times New Roman" w:eastAsia="方正仿宋简体" w:cs="Times New Roman"/>
          <w:strike w:val="0"/>
          <w:dstrike w:val="0"/>
          <w:sz w:val="32"/>
          <w:szCs w:val="32"/>
          <w:lang w:eastAsia="zh-CN"/>
        </w:rPr>
        <w:t>、</w:t>
      </w:r>
      <w:r>
        <w:rPr>
          <w:rFonts w:hint="default" w:ascii="Times New Roman" w:hAnsi="Times New Roman" w:eastAsia="方正仿宋简体" w:cs="Times New Roman"/>
          <w:strike w:val="0"/>
          <w:dstrike w:val="0"/>
          <w:sz w:val="32"/>
          <w:szCs w:val="32"/>
        </w:rPr>
        <w:t>节能节水项目的所得，根据《公共基础设施项目企业所得税优惠目录》，自项目取得第一笔生产经营收入所属纳税年度起，第一年至第三年免征企业所得税，第四年至第六年减半征收企业所得税。(《中华人民共和国企业所得税法》《中华人民共和国企业所得税法实施条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u w:val="none"/>
          <w:lang w:val="en-US" w:eastAsia="zh-CN"/>
        </w:rPr>
      </w:pPr>
      <w:r>
        <w:rPr>
          <w:rFonts w:hint="default" w:ascii="Times New Roman" w:hAnsi="Times New Roman" w:eastAsia="方正仿宋简体" w:cs="Times New Roman"/>
          <w:sz w:val="32"/>
          <w:szCs w:val="32"/>
          <w:u w:val="none"/>
        </w:rPr>
        <w:t>（三）对设在西部地区的鼓励类产业企业减按15%的税率征收企业所得税。本条所称鼓励类产业企业是指以《西部地区鼓励类产业目录》中规定的产业项目为主营业务，且其主营业务收入占企业收入总额60%以上的企业。</w:t>
      </w:r>
      <w:r>
        <w:rPr>
          <w:rFonts w:hint="default" w:ascii="Times New Roman" w:hAnsi="Times New Roman" w:eastAsia="方正仿宋简体" w:cs="Times New Roman"/>
          <w:sz w:val="32"/>
          <w:szCs w:val="32"/>
          <w:u w:val="none"/>
          <w:lang w:eastAsia="zh-CN"/>
        </w:rPr>
        <w:t>(《财政部 税务总局</w:t>
      </w:r>
      <w:r>
        <w:rPr>
          <w:rFonts w:hint="default" w:ascii="Times New Roman" w:hAnsi="Times New Roman" w:eastAsia="方正仿宋简体" w:cs="Times New Roman"/>
          <w:sz w:val="32"/>
          <w:szCs w:val="32"/>
          <w:u w:val="none"/>
          <w:lang w:val="en-US" w:eastAsia="zh-CN"/>
        </w:rPr>
        <w:t xml:space="preserve"> </w:t>
      </w:r>
      <w:r>
        <w:rPr>
          <w:rFonts w:hint="default" w:ascii="Times New Roman" w:hAnsi="Times New Roman" w:eastAsia="方正仿宋简体" w:cs="Times New Roman"/>
          <w:sz w:val="32"/>
          <w:szCs w:val="32"/>
          <w:u w:val="none"/>
          <w:lang w:eastAsia="zh-CN"/>
        </w:rPr>
        <w:t>国家发展改革委关于延续西部大开发企业</w:t>
      </w:r>
      <w:r>
        <w:rPr>
          <w:rFonts w:hint="default" w:ascii="Times New Roman" w:hAnsi="Times New Roman" w:eastAsia="方正仿宋简体" w:cs="Times New Roman"/>
          <w:color w:val="auto"/>
          <w:sz w:val="32"/>
          <w:szCs w:val="32"/>
          <w:u w:val="none"/>
          <w:lang w:eastAsia="zh-CN"/>
        </w:rPr>
        <w:t>所得税政策的公告》财政部公告2020年第23号，政策执行期限2021年1月1日至2030年</w:t>
      </w:r>
      <w:r>
        <w:rPr>
          <w:rFonts w:hint="default" w:ascii="Times New Roman" w:hAnsi="Times New Roman" w:eastAsia="方正仿宋简体" w:cs="Times New Roman"/>
          <w:color w:val="auto"/>
          <w:sz w:val="32"/>
          <w:szCs w:val="32"/>
          <w:u w:val="none"/>
          <w:lang w:val="en-US" w:eastAsia="zh-CN"/>
        </w:rPr>
        <w:t>12月31日）</w:t>
      </w:r>
    </w:p>
    <w:p>
      <w:pPr>
        <w:pStyle w:val="10"/>
        <w:keepNext w:val="0"/>
        <w:keepLines w:val="0"/>
        <w:widowControl w:val="0"/>
        <w:suppressLineNumbers w:val="0"/>
        <w:spacing w:before="0" w:beforeAutospacing="0" w:after="0" w:afterAutospacing="0"/>
        <w:ind w:left="0" w:right="0" w:firstLine="640" w:firstLineChars="200"/>
        <w:jc w:val="both"/>
        <w:rPr>
          <w:rFonts w:hint="eastAsia" w:ascii="方正仿宋简体" w:hAnsi="方正仿宋简体" w:eastAsia="方正仿宋简体" w:cs="方正仿宋简体"/>
          <w:sz w:val="32"/>
          <w:szCs w:val="32"/>
          <w:lang w:val="en-US"/>
        </w:rPr>
      </w:pPr>
      <w:r>
        <w:rPr>
          <w:rFonts w:hint="default" w:ascii="Times New Roman" w:hAnsi="Times New Roman" w:eastAsia="方正仿宋简体" w:cs="Times New Roman"/>
          <w:color w:val="auto"/>
          <w:sz w:val="32"/>
          <w:szCs w:val="32"/>
          <w:u w:val="none"/>
          <w:lang w:val="en-US" w:eastAsia="zh-CN"/>
        </w:rPr>
        <w:t>（四）</w:t>
      </w:r>
      <w:r>
        <w:rPr>
          <w:rFonts w:hint="default" w:ascii="Times New Roman" w:hAnsi="Times New Roman" w:eastAsia="方正仿宋简体" w:cs="Times New Roman"/>
          <w:color w:val="auto"/>
          <w:sz w:val="32"/>
          <w:szCs w:val="32"/>
          <w:highlight w:val="none"/>
          <w:lang w:eastAsia="zh-CN"/>
        </w:rPr>
        <w:t>十三师新星市内</w:t>
      </w:r>
      <w:r>
        <w:rPr>
          <w:rFonts w:hint="default" w:ascii="Times New Roman" w:hAnsi="Times New Roman" w:eastAsia="方正仿宋简体" w:cs="Times New Roman"/>
          <w:color w:val="auto"/>
          <w:sz w:val="32"/>
          <w:szCs w:val="32"/>
          <w:highlight w:val="none"/>
        </w:rPr>
        <w:t>企业购置并实际使用</w:t>
      </w:r>
      <w:r>
        <w:rPr>
          <w:rFonts w:hint="default" w:ascii="Times New Roman" w:hAnsi="Times New Roman" w:eastAsia="方正仿宋简体" w:cs="Times New Roman"/>
          <w:color w:val="auto"/>
          <w:sz w:val="32"/>
          <w:szCs w:val="32"/>
          <w:highlight w:val="none"/>
          <w:lang w:eastAsia="zh-CN"/>
        </w:rPr>
        <w:t>符合规定的</w:t>
      </w:r>
      <w:r>
        <w:rPr>
          <w:rFonts w:hint="default" w:ascii="Times New Roman" w:hAnsi="Times New Roman" w:eastAsia="方正仿宋简体" w:cs="Times New Roman"/>
          <w:color w:val="auto"/>
          <w:sz w:val="32"/>
          <w:szCs w:val="32"/>
          <w:highlight w:val="none"/>
        </w:rPr>
        <w:t>环境保护、节能</w:t>
      </w:r>
      <w:r>
        <w:rPr>
          <w:rFonts w:hint="eastAsia" w:ascii="方正仿宋简体" w:hAnsi="方正仿宋简体" w:eastAsia="方正仿宋简体" w:cs="方正仿宋简体"/>
          <w:color w:val="auto"/>
          <w:sz w:val="32"/>
          <w:szCs w:val="32"/>
          <w:highlight w:val="none"/>
        </w:rPr>
        <w:t>节水、安全生产等专用设备的，</w:t>
      </w:r>
      <w:r>
        <w:rPr>
          <w:rFonts w:hint="eastAsia" w:ascii="方正仿宋简体" w:hAnsi="方正仿宋简体" w:eastAsia="方正仿宋简体" w:cs="方正仿宋简体"/>
          <w:kern w:val="2"/>
          <w:sz w:val="32"/>
          <w:szCs w:val="32"/>
          <w:lang w:val="en-US" w:eastAsia="zh-CN" w:bidi="ar"/>
        </w:rPr>
        <w:t>该专用设备的投资额的10%可以从企业当年的应纳税额中抵免；当年不足抵免的，可以在以后5个纳税年度结转抵免。（《中华人民共和国企业所得税法实施条例》）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color w:val="auto"/>
          <w:sz w:val="32"/>
          <w:szCs w:val="32"/>
          <w:u w:val="none"/>
        </w:rPr>
      </w:pPr>
      <w:r>
        <w:rPr>
          <w:rFonts w:hint="default" w:ascii="Times New Roman" w:hAnsi="Times New Roman" w:eastAsia="方正黑体简体" w:cs="Times New Roman"/>
          <w:color w:val="auto"/>
          <w:sz w:val="32"/>
          <w:szCs w:val="32"/>
          <w:u w:val="none"/>
        </w:rPr>
        <w:t>第</w:t>
      </w:r>
      <w:r>
        <w:rPr>
          <w:rFonts w:hint="default" w:ascii="Times New Roman" w:hAnsi="Times New Roman" w:eastAsia="方正黑体简体" w:cs="Times New Roman"/>
          <w:color w:val="auto"/>
          <w:sz w:val="32"/>
          <w:szCs w:val="32"/>
          <w:u w:val="none"/>
          <w:lang w:eastAsia="zh-CN"/>
        </w:rPr>
        <w:t>五</w:t>
      </w:r>
      <w:r>
        <w:rPr>
          <w:rFonts w:hint="default" w:ascii="Times New Roman" w:hAnsi="Times New Roman" w:eastAsia="方正黑体简体" w:cs="Times New Roman"/>
          <w:color w:val="auto"/>
          <w:sz w:val="32"/>
          <w:szCs w:val="32"/>
          <w:u w:val="none"/>
        </w:rPr>
        <w:t xml:space="preserve">条  </w:t>
      </w:r>
      <w:r>
        <w:rPr>
          <w:rFonts w:hint="default" w:ascii="Times New Roman" w:hAnsi="Times New Roman" w:eastAsia="方正仿宋简体" w:cs="Times New Roman"/>
          <w:color w:val="auto"/>
          <w:sz w:val="32"/>
          <w:szCs w:val="32"/>
          <w:u w:val="none"/>
        </w:rPr>
        <w:t>财政、金融扶持政策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highlight w:val="none"/>
          <w:u w:val="none"/>
          <w:lang w:eastAsia="zh-CN"/>
        </w:rPr>
      </w:pPr>
      <w:r>
        <w:rPr>
          <w:rFonts w:hint="default" w:ascii="Times New Roman" w:hAnsi="Times New Roman" w:eastAsia="方正仿宋简体" w:cs="Times New Roman"/>
          <w:color w:val="auto"/>
          <w:sz w:val="32"/>
          <w:szCs w:val="32"/>
          <w:u w:val="none"/>
        </w:rPr>
        <w:t>对于国家、兵团鼓励支持发展的战略</w:t>
      </w:r>
      <w:r>
        <w:rPr>
          <w:rFonts w:hint="eastAsia" w:ascii="Times New Roman" w:hAnsi="Times New Roman" w:eastAsia="方正仿宋简体" w:cs="Times New Roman"/>
          <w:color w:val="auto"/>
          <w:sz w:val="32"/>
          <w:szCs w:val="32"/>
          <w:u w:val="none"/>
          <w:lang w:eastAsia="zh-CN"/>
        </w:rPr>
        <w:t>性</w:t>
      </w:r>
      <w:r>
        <w:rPr>
          <w:rFonts w:hint="default" w:ascii="Times New Roman" w:hAnsi="Times New Roman" w:eastAsia="方正仿宋简体" w:cs="Times New Roman"/>
          <w:color w:val="auto"/>
          <w:sz w:val="32"/>
          <w:szCs w:val="32"/>
          <w:u w:val="none"/>
        </w:rPr>
        <w:t>新兴产业、科技创新产业项目，</w:t>
      </w:r>
      <w:r>
        <w:rPr>
          <w:rFonts w:hint="default" w:ascii="Times New Roman" w:hAnsi="Times New Roman" w:eastAsia="方正仿宋简体" w:cs="Times New Roman"/>
          <w:color w:val="auto"/>
          <w:sz w:val="32"/>
          <w:szCs w:val="32"/>
          <w:u w:val="none"/>
          <w:lang w:eastAsia="zh-CN"/>
        </w:rPr>
        <w:t>十三师新星市</w:t>
      </w:r>
      <w:r>
        <w:rPr>
          <w:rFonts w:hint="default" w:ascii="Times New Roman" w:hAnsi="Times New Roman" w:eastAsia="方正仿宋简体" w:cs="Times New Roman"/>
          <w:color w:val="auto"/>
          <w:sz w:val="32"/>
          <w:szCs w:val="32"/>
          <w:u w:val="none"/>
        </w:rPr>
        <w:t>将积极协助投资方争取国家、兵团对项目建设的政策性资金、基金的支持。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color w:val="auto"/>
          <w:sz w:val="32"/>
          <w:szCs w:val="32"/>
        </w:rPr>
      </w:pPr>
      <w:r>
        <w:rPr>
          <w:rFonts w:hint="default" w:ascii="Times New Roman" w:hAnsi="Times New Roman" w:eastAsia="方正黑体简体" w:cs="Times New Roman"/>
          <w:color w:val="auto"/>
          <w:sz w:val="32"/>
          <w:szCs w:val="32"/>
        </w:rPr>
        <w:t>第</w:t>
      </w:r>
      <w:r>
        <w:rPr>
          <w:rFonts w:hint="default" w:ascii="Times New Roman" w:hAnsi="Times New Roman" w:eastAsia="方正黑体简体" w:cs="Times New Roman"/>
          <w:color w:val="auto"/>
          <w:sz w:val="32"/>
          <w:szCs w:val="32"/>
          <w:lang w:eastAsia="zh-CN"/>
        </w:rPr>
        <w:t>六</w:t>
      </w:r>
      <w:r>
        <w:rPr>
          <w:rFonts w:hint="default" w:ascii="Times New Roman" w:hAnsi="Times New Roman" w:eastAsia="方正黑体简体" w:cs="Times New Roman"/>
          <w:color w:val="auto"/>
          <w:sz w:val="32"/>
          <w:szCs w:val="32"/>
        </w:rPr>
        <w:t xml:space="preserve">条  </w:t>
      </w:r>
      <w:r>
        <w:rPr>
          <w:rFonts w:hint="default" w:ascii="Times New Roman" w:hAnsi="Times New Roman" w:eastAsia="方正仿宋简体" w:cs="Times New Roman"/>
          <w:color w:val="auto"/>
          <w:sz w:val="32"/>
          <w:szCs w:val="32"/>
        </w:rPr>
        <w:t>劳动就业政策</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简体" w:cs="Times New Roman"/>
          <w:sz w:val="32"/>
          <w:szCs w:val="32"/>
          <w:lang w:val="en-US" w:eastAsia="zh-CN"/>
        </w:rPr>
      </w:pPr>
      <w:r>
        <w:rPr>
          <w:rFonts w:hint="eastAsia" w:ascii="方正仿宋简体" w:hAnsi="方正仿宋简体" w:eastAsia="方正仿宋简体" w:cs="方正仿宋简体"/>
          <w:sz w:val="32"/>
          <w:szCs w:val="32"/>
          <w:lang w:val="en-US" w:eastAsia="zh-CN"/>
        </w:rPr>
        <w:t>（一）企业社会保险补贴。</w:t>
      </w:r>
      <w:r>
        <w:rPr>
          <w:rFonts w:hint="default" w:ascii="Times New Roman" w:hAnsi="Times New Roman" w:eastAsia="方正仿宋简体" w:cs="Times New Roman"/>
          <w:b/>
          <w:bCs/>
          <w:sz w:val="32"/>
          <w:szCs w:val="32"/>
          <w:lang w:val="en-US" w:eastAsia="zh-CN"/>
        </w:rPr>
        <w:t>1.高校毕业生社会保险补贴。</w:t>
      </w:r>
      <w:r>
        <w:rPr>
          <w:rFonts w:hint="default" w:ascii="Times New Roman" w:hAnsi="Times New Roman" w:eastAsia="方正仿宋简体" w:cs="Times New Roman"/>
          <w:sz w:val="32"/>
          <w:szCs w:val="32"/>
          <w:lang w:val="en-US" w:eastAsia="zh-CN"/>
        </w:rPr>
        <w:t>对招用毕业年度和离校2年内未就业高校毕业生，与之签订1年以上劳动合同并为其缴纳社会保险费的小微企业，按其为高校毕业生实际缴纳的基本养老保险费、基本医疗保险费和失业保险费给予补贴，不包括高校毕业生个人应缴纳的部分，对超过社会保险缴费基数100%部分不予补贴，补贴期限最长不超过1年。</w:t>
      </w:r>
      <w:r>
        <w:rPr>
          <w:rFonts w:hint="default" w:ascii="Times New Roman" w:hAnsi="Times New Roman" w:eastAsia="方正仿宋简体" w:cs="Times New Roman"/>
          <w:b/>
          <w:bCs/>
          <w:sz w:val="32"/>
          <w:szCs w:val="32"/>
          <w:lang w:val="en-US" w:eastAsia="zh-CN"/>
        </w:rPr>
        <w:t>2.就业困难人员社会保险补贴。</w:t>
      </w:r>
      <w:r>
        <w:rPr>
          <w:rFonts w:hint="default" w:ascii="Times New Roman" w:hAnsi="Times New Roman" w:eastAsia="方正仿宋简体" w:cs="Times New Roman"/>
          <w:sz w:val="32"/>
          <w:szCs w:val="32"/>
          <w:lang w:val="en-US" w:eastAsia="zh-CN"/>
        </w:rPr>
        <w:t>对招用就业困难人员并缴纳社会保险费的单位，按其为就业困难人员实际缴纳的基本养老保险费、基本医疗保险费和失业保险费给予补贴，不包括就业困难人员个人应缴纳的部分，对超过社会保险缴费基数100%部分不予补贴。就业困难人员社会保险补贴期限，除对距法定退休年龄不足5年的就业困难人员可延长至退休外（最长不超过5年），其余人员最长不超过3年（以初次核定其享受社会保险补贴时年龄为准）。</w:t>
      </w:r>
    </w:p>
    <w:p>
      <w:pPr>
        <w:pStyle w:val="2"/>
        <w:ind w:left="0" w:leftChars="0" w:firstLine="0" w:firstLineChars="0"/>
        <w:rPr>
          <w:rFonts w:hint="default"/>
          <w:lang w:val="en-US" w:eastAsia="zh-CN"/>
        </w:rPr>
      </w:pPr>
      <w:r>
        <w:rPr>
          <w:rFonts w:hint="eastAsia" w:ascii="Times New Roman" w:hAnsi="Times New Roman" w:eastAsia="方正仿宋简体" w:cs="Times New Roman"/>
          <w:sz w:val="32"/>
          <w:szCs w:val="32"/>
          <w:lang w:val="en-US" w:eastAsia="zh-CN"/>
        </w:rPr>
        <w:t>（《新疆生产建设兵团就业补助资金管理办法》（兵财社〔2026〕78号），实施期限至2030年底。）</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（二）就业见习补贴</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b/>
          <w:bCs/>
          <w:sz w:val="32"/>
          <w:szCs w:val="32"/>
          <w:lang w:val="en-US" w:eastAsia="zh-CN"/>
        </w:rPr>
        <w:t>1.补贴对象：</w:t>
      </w:r>
      <w:r>
        <w:rPr>
          <w:rFonts w:hint="default" w:ascii="Times New Roman" w:hAnsi="Times New Roman" w:eastAsia="方正仿宋简体" w:cs="Times New Roman"/>
          <w:sz w:val="32"/>
          <w:szCs w:val="32"/>
          <w:lang w:val="en-US" w:eastAsia="zh-CN"/>
        </w:rPr>
        <w:t>离校2年内未就业高校毕业生和16</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24周岁登记失业青年。</w:t>
      </w:r>
      <w:r>
        <w:rPr>
          <w:rFonts w:hint="default" w:ascii="Times New Roman" w:hAnsi="Times New Roman" w:eastAsia="方正仿宋简体" w:cs="Times New Roman"/>
          <w:b/>
          <w:bCs/>
          <w:sz w:val="32"/>
          <w:szCs w:val="32"/>
          <w:lang w:val="en-US" w:eastAsia="zh-CN"/>
        </w:rPr>
        <w:t>2.补贴标准：</w:t>
      </w:r>
      <w:r>
        <w:rPr>
          <w:rFonts w:hint="default" w:ascii="Times New Roman" w:hAnsi="Times New Roman" w:eastAsia="方正仿宋简体" w:cs="Times New Roman"/>
          <w:sz w:val="32"/>
          <w:szCs w:val="32"/>
          <w:lang w:val="en-US" w:eastAsia="zh-CN"/>
        </w:rPr>
        <w:t>按照当地最低工资标准给予吸纳就业见习的单位就业见习补贴，用于见习单位按月支付见习人员见习期间的基本生活费、为见习人员购买补充工伤保险或人身意外伤害保险以及对见习人员的指导管理费用。其中：用于见习人员的基本生活费、保险费不低于见习补贴的80%，对见习人员的指导管理费用不超过见习补贴的20%。</w:t>
      </w:r>
      <w:r>
        <w:rPr>
          <w:rFonts w:hint="default" w:ascii="Times New Roman" w:hAnsi="Times New Roman" w:eastAsia="方正仿宋简体" w:cs="Times New Roman"/>
          <w:b/>
          <w:bCs/>
          <w:sz w:val="32"/>
          <w:szCs w:val="32"/>
          <w:lang w:val="en-US" w:eastAsia="zh-CN"/>
        </w:rPr>
        <w:t>3.补贴期限：</w:t>
      </w:r>
      <w:r>
        <w:rPr>
          <w:rFonts w:hint="default" w:ascii="Times New Roman" w:hAnsi="Times New Roman" w:eastAsia="方正仿宋简体" w:cs="Times New Roman"/>
          <w:sz w:val="32"/>
          <w:szCs w:val="32"/>
          <w:lang w:val="en-US" w:eastAsia="zh-CN"/>
        </w:rPr>
        <w:t>一般为3至12个月，实际见习期限在3个月以下的不予补贴。</w:t>
      </w:r>
      <w:r>
        <w:rPr>
          <w:rFonts w:hint="eastAsia" w:ascii="Times New Roman" w:hAnsi="Times New Roman" w:eastAsia="方正仿宋简体" w:cs="Times New Roman"/>
          <w:sz w:val="32"/>
          <w:szCs w:val="32"/>
          <w:lang w:val="en-US" w:eastAsia="zh-CN"/>
        </w:rPr>
        <w:t>（《新疆生产建设兵团就业补助资金管理办法》（兵财社〔2026〕78号），实施期限至2030年底。）</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val="en-US" w:eastAsia="zh-CN"/>
        </w:rPr>
        <w:t>（三）职业技能培训补贴</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b/>
          <w:bCs/>
          <w:sz w:val="32"/>
          <w:szCs w:val="32"/>
          <w:lang w:val="en-US" w:eastAsia="zh-CN"/>
        </w:rPr>
        <w:t>1.补贴范围：</w:t>
      </w:r>
      <w:r>
        <w:rPr>
          <w:rFonts w:hint="default" w:ascii="Times New Roman" w:hAnsi="Times New Roman" w:eastAsia="方正仿宋简体" w:cs="Times New Roman"/>
          <w:sz w:val="32"/>
          <w:szCs w:val="32"/>
          <w:lang w:val="en-US" w:eastAsia="zh-CN"/>
        </w:rPr>
        <w:t>毕业年度高校毕业生（指毕业所在自然年，即当年1月1日至12月31日）、城乡未继续升学的应届初高中毕业生、团场（镇）转移就业劳动者（外出务工的农村劳动力）、城镇登记失业人员、就业困难人员等，以及符合条件的企业职工（含连队职工）。</w:t>
      </w:r>
      <w:r>
        <w:rPr>
          <w:rFonts w:hint="default" w:ascii="Times New Roman" w:hAnsi="Times New Roman" w:eastAsia="方正仿宋简体" w:cs="Times New Roman"/>
          <w:b/>
          <w:bCs/>
          <w:sz w:val="32"/>
          <w:szCs w:val="32"/>
          <w:lang w:val="en-US" w:eastAsia="zh-CN"/>
        </w:rPr>
        <w:t>2.补贴标准：</w:t>
      </w:r>
      <w:r>
        <w:rPr>
          <w:rFonts w:hint="default" w:ascii="Times New Roman" w:hAnsi="Times New Roman" w:eastAsia="方正仿宋简体" w:cs="Times New Roman"/>
          <w:sz w:val="32"/>
          <w:szCs w:val="32"/>
          <w:lang w:val="en-US" w:eastAsia="zh-CN"/>
        </w:rPr>
        <w:t>初级工培训每人最高补贴1800元；中级工培训每人最高补贴2000元；高级工培训每人最高补贴2500元；技师培训每人最高补贴3000元；高级技师培训每人最高补贴3500元。专项职业能力培训每人补贴400元</w:t>
      </w:r>
      <w:r>
        <w:rPr>
          <w:rFonts w:hint="eastAsia" w:ascii="Times New Roman" w:hAnsi="Times New Roman" w:eastAsia="方正仿宋简体" w:cs="Times New Roman"/>
          <w:sz w:val="32"/>
          <w:szCs w:val="32"/>
          <w:lang w:val="en-US" w:eastAsia="zh-CN"/>
        </w:rPr>
        <w:t>。（《新疆生产建设兵团就业补助资金管理办法》（兵财社〔2026〕78号），实施期限至2030年底。）</w:t>
      </w:r>
    </w:p>
    <w:p>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default" w:ascii="Times New Roman" w:hAnsi="Times New Roman" w:eastAsia="方正仿宋简体" w:cs="Times New Roman"/>
          <w:sz w:val="32"/>
          <w:szCs w:val="32"/>
          <w:lang w:val="en-US" w:eastAsia="zh-CN"/>
        </w:rPr>
      </w:pPr>
      <w:r>
        <w:rPr>
          <w:rFonts w:hint="eastAsia" w:ascii="方正仿宋简体" w:hAnsi="方正仿宋简体" w:eastAsia="方正仿宋简体" w:cs="方正仿宋简体"/>
          <w:sz w:val="32"/>
          <w:szCs w:val="32"/>
          <w:lang w:val="en-US" w:eastAsia="zh-CN"/>
        </w:rPr>
        <w:t>（四）</w:t>
      </w:r>
      <w:r>
        <w:rPr>
          <w:rFonts w:hint="eastAsia" w:ascii="方正仿宋简体" w:hAnsi="方正仿宋简体" w:eastAsia="方正仿宋简体" w:cs="方正仿宋简体"/>
          <w:kern w:val="2"/>
          <w:sz w:val="32"/>
          <w:szCs w:val="32"/>
          <w:lang w:val="en-US" w:eastAsia="zh-CN" w:bidi="ar-SA"/>
        </w:rPr>
        <w:t>劳务品牌建设补助。</w:t>
      </w:r>
      <w:r>
        <w:rPr>
          <w:rFonts w:hint="default" w:ascii="Times New Roman" w:hAnsi="Times New Roman" w:eastAsia="方正仿宋简体" w:cs="Times New Roman"/>
          <w:sz w:val="32"/>
          <w:szCs w:val="32"/>
          <w:lang w:val="en-US" w:eastAsia="zh-CN"/>
        </w:rPr>
        <w:t>对经兵团、师市、团镇人力资源社会保障部门备案的劳务品牌建设单位给予一定的补助。补助标准为兵团备案劳务品牌30万元/个、师市备案劳务品牌20万元/个、团镇备案劳务品牌10万元/个，主要用于劳务品牌培育建设和能力提升，具体按照兵团劳务品牌建设相关规定执行。</w:t>
      </w:r>
      <w:r>
        <w:rPr>
          <w:rFonts w:hint="eastAsia" w:ascii="Times New Roman" w:hAnsi="Times New Roman" w:eastAsia="方正仿宋简体" w:cs="Times New Roman"/>
          <w:sz w:val="32"/>
          <w:szCs w:val="32"/>
          <w:lang w:val="en-US" w:eastAsia="zh-CN"/>
        </w:rPr>
        <w:t>（《新疆生产建设兵团就业补助资金管理办法》（兵财社〔2026〕78号），实施期限至2030年底。）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w:t>
      </w:r>
      <w:r>
        <w:rPr>
          <w:rFonts w:hint="eastAsia" w:ascii="Times New Roman" w:hAnsi="Times New Roman" w:eastAsia="方正黑体简体" w:cs="Times New Roman"/>
          <w:sz w:val="32"/>
          <w:szCs w:val="32"/>
          <w:lang w:eastAsia="zh-CN"/>
        </w:rPr>
        <w:t>七</w:t>
      </w:r>
      <w:r>
        <w:rPr>
          <w:rFonts w:hint="default" w:ascii="Times New Roman" w:hAnsi="Times New Roman" w:eastAsia="方正黑体简体" w:cs="Times New Roman"/>
          <w:sz w:val="32"/>
          <w:szCs w:val="32"/>
        </w:rPr>
        <w:t xml:space="preserve">条  </w:t>
      </w:r>
      <w:r>
        <w:rPr>
          <w:rFonts w:hint="default" w:ascii="Times New Roman" w:hAnsi="Times New Roman" w:eastAsia="方正仿宋简体" w:cs="Times New Roman"/>
          <w:sz w:val="32"/>
          <w:szCs w:val="32"/>
        </w:rPr>
        <w:t>服务业方面优惠政策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b w:val="0"/>
          <w:bCs w:val="0"/>
          <w:sz w:val="32"/>
          <w:szCs w:val="32"/>
          <w:lang w:eastAsia="zh-CN"/>
        </w:rPr>
      </w:pPr>
      <w:bookmarkStart w:id="0" w:name="_Toc31536"/>
      <w:r>
        <w:rPr>
          <w:rFonts w:hint="default" w:ascii="Times New Roman" w:hAnsi="Times New Roman" w:eastAsia="方正仿宋简体" w:cs="Times New Roman"/>
          <w:sz w:val="32"/>
          <w:szCs w:val="32"/>
        </w:rPr>
        <w:t>（一）促进健康服务业发展的有关政策</w:t>
      </w:r>
      <w:bookmarkEnd w:id="0"/>
      <w:r>
        <w:rPr>
          <w:rFonts w:hint="default" w:ascii="Times New Roman" w:hAnsi="Times New Roman" w:eastAsia="方正仿宋简体" w:cs="Times New Roman"/>
          <w:sz w:val="32"/>
          <w:szCs w:val="32"/>
        </w:rPr>
        <w:t>。对非营利性养老和医疗机构建设全额免征行政事业性收费，对营利性养老和医疗机构建设减半收取行政事业性收费。</w:t>
      </w:r>
      <w:r>
        <w:rPr>
          <w:rFonts w:hint="eastAsia" w:ascii="Times New Roman" w:hAnsi="Times New Roman" w:eastAsia="方正仿宋简体" w:cs="Times New Roman"/>
          <w:sz w:val="32"/>
          <w:szCs w:val="32"/>
          <w:lang w:eastAsia="zh-CN"/>
        </w:rPr>
        <w:t>经认定取得非盈利组织免税资格且取得规定范围内免税收入的按规定免征企业所得税</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b w:val="0"/>
          <w:bCs w:val="0"/>
          <w:strike w:val="0"/>
          <w:dstrike w:val="0"/>
          <w:sz w:val="32"/>
          <w:szCs w:val="32"/>
          <w:u w:val="none"/>
          <w:lang w:eastAsia="zh-CN"/>
        </w:rPr>
        <w:t>（</w:t>
      </w:r>
      <w:r>
        <w:rPr>
          <w:rFonts w:hint="eastAsia" w:ascii="Times New Roman" w:hAnsi="Times New Roman" w:eastAsia="方正仿宋简体" w:cs="Times New Roman"/>
          <w:i w:val="0"/>
          <w:caps w:val="0"/>
          <w:color w:val="333333"/>
          <w:spacing w:val="0"/>
          <w:sz w:val="32"/>
          <w:szCs w:val="32"/>
          <w:shd w:val="clear" w:color="auto" w:fill="FFFFFF"/>
          <w:lang w:val="en-US" w:eastAsia="zh-CN"/>
        </w:rPr>
        <w:t>《财政部 国家发展改革委 关于减免养老和医疗机构行政事业性收费有关问题的通知》（财税</w:t>
      </w:r>
      <w:r>
        <w:rPr>
          <w:rFonts w:hint="default" w:ascii="Times New Roman" w:hAnsi="Times New Roman" w:eastAsia="方正仿宋简体" w:cs="Times New Roman"/>
          <w:b w:val="0"/>
          <w:bCs w:val="0"/>
          <w:strike w:val="0"/>
          <w:dstrike w:val="0"/>
          <w:sz w:val="32"/>
          <w:szCs w:val="32"/>
          <w:u w:val="none"/>
        </w:rPr>
        <w:t>〔201</w:t>
      </w:r>
      <w:r>
        <w:rPr>
          <w:rFonts w:hint="eastAsia" w:ascii="Times New Roman" w:hAnsi="Times New Roman" w:eastAsia="方正仿宋简体" w:cs="Times New Roman"/>
          <w:b w:val="0"/>
          <w:bCs w:val="0"/>
          <w:strike w:val="0"/>
          <w:dstrike w:val="0"/>
          <w:sz w:val="32"/>
          <w:szCs w:val="32"/>
          <w:u w:val="none"/>
          <w:lang w:val="en-US" w:eastAsia="zh-CN"/>
        </w:rPr>
        <w:t>4</w:t>
      </w:r>
      <w:r>
        <w:rPr>
          <w:rFonts w:hint="default" w:ascii="Times New Roman" w:hAnsi="Times New Roman" w:eastAsia="方正仿宋简体" w:cs="Times New Roman"/>
          <w:b w:val="0"/>
          <w:bCs w:val="0"/>
          <w:strike w:val="0"/>
          <w:dstrike w:val="0"/>
          <w:sz w:val="32"/>
          <w:szCs w:val="32"/>
          <w:u w:val="none"/>
        </w:rPr>
        <w:t>〕</w:t>
      </w:r>
      <w:r>
        <w:rPr>
          <w:rFonts w:hint="eastAsia" w:ascii="Times New Roman" w:hAnsi="Times New Roman" w:eastAsia="方正仿宋简体" w:cs="Times New Roman"/>
          <w:b w:val="0"/>
          <w:bCs w:val="0"/>
          <w:strike w:val="0"/>
          <w:dstrike w:val="0"/>
          <w:sz w:val="32"/>
          <w:szCs w:val="32"/>
          <w:u w:val="none"/>
          <w:lang w:val="en-US" w:eastAsia="zh-CN"/>
        </w:rPr>
        <w:t>77</w:t>
      </w:r>
      <w:r>
        <w:rPr>
          <w:rFonts w:hint="eastAsia" w:ascii="Times New Roman" w:hAnsi="Times New Roman" w:eastAsia="方正仿宋简体" w:cs="Times New Roman"/>
          <w:i w:val="0"/>
          <w:caps w:val="0"/>
          <w:color w:val="333333"/>
          <w:spacing w:val="0"/>
          <w:sz w:val="32"/>
          <w:szCs w:val="32"/>
          <w:shd w:val="clear" w:color="auto" w:fill="FFFFFF"/>
          <w:lang w:val="en-US" w:eastAsia="zh-CN"/>
        </w:rPr>
        <w:t>号）、</w:t>
      </w:r>
      <w:r>
        <w:rPr>
          <w:rFonts w:hint="default" w:ascii="Times New Roman" w:hAnsi="Times New Roman" w:eastAsia="方正仿宋简体" w:cs="Times New Roman"/>
          <w:b w:val="0"/>
          <w:bCs w:val="0"/>
          <w:strike w:val="0"/>
          <w:dstrike w:val="0"/>
          <w:sz w:val="32"/>
          <w:szCs w:val="32"/>
          <w:u w:val="none"/>
        </w:rPr>
        <w:t>《财政部 国家税务总局关于非营利组织免税资格认定管理有关问题的通知》（财税〔2018〕13号）</w:t>
      </w:r>
      <w:r>
        <w:rPr>
          <w:rFonts w:hint="eastAsia" w:ascii="Times New Roman" w:hAnsi="Times New Roman" w:eastAsia="方正仿宋简体" w:cs="Times New Roman"/>
          <w:b w:val="0"/>
          <w:bCs w:val="0"/>
          <w:strike w:val="0"/>
          <w:dstrike w:val="0"/>
          <w:sz w:val="32"/>
          <w:szCs w:val="32"/>
          <w:u w:val="none"/>
          <w:lang w:eastAsia="zh-CN"/>
        </w:rPr>
        <w:t>、</w:t>
      </w:r>
      <w:r>
        <w:rPr>
          <w:rFonts w:hint="default" w:ascii="Times New Roman" w:hAnsi="Times New Roman" w:eastAsia="方正仿宋简体" w:cs="Times New Roman"/>
          <w:b w:val="0"/>
          <w:bCs w:val="0"/>
          <w:strike w:val="0"/>
          <w:dstrike w:val="0"/>
          <w:sz w:val="32"/>
          <w:szCs w:val="32"/>
          <w:u w:val="none"/>
        </w:rPr>
        <w:t>《财政部 国家税务总局关于非营利组织企业所得税免税收入问题的通知</w:t>
      </w:r>
      <w:r>
        <w:rPr>
          <w:rFonts w:hint="eastAsia" w:ascii="Times New Roman" w:hAnsi="Times New Roman" w:eastAsia="方正仿宋简体" w:cs="Times New Roman"/>
          <w:b w:val="0"/>
          <w:bCs w:val="0"/>
          <w:strike w:val="0"/>
          <w:dstrike w:val="0"/>
          <w:sz w:val="32"/>
          <w:szCs w:val="32"/>
          <w:u w:val="none"/>
          <w:lang w:eastAsia="zh-CN"/>
        </w:rPr>
        <w:t>（财税</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sz w:val="32"/>
          <w:szCs w:val="32"/>
          <w:lang w:val="en-US" w:eastAsia="zh-CN"/>
        </w:rPr>
        <w:t>2009</w:t>
      </w:r>
      <w:r>
        <w:rPr>
          <w:rFonts w:hint="eastAsia" w:ascii="Times New Roman" w:hAnsi="Times New Roman" w:eastAsia="方正仿宋简体" w:cs="Times New Roman"/>
          <w:sz w:val="32"/>
          <w:szCs w:val="32"/>
          <w:lang w:eastAsia="zh-CN"/>
        </w:rPr>
        <w:t>〕</w:t>
      </w:r>
      <w:r>
        <w:rPr>
          <w:rFonts w:hint="eastAsia" w:ascii="Times New Roman" w:hAnsi="Times New Roman" w:eastAsia="方正仿宋简体" w:cs="Times New Roman"/>
          <w:b w:val="0"/>
          <w:bCs w:val="0"/>
          <w:strike w:val="0"/>
          <w:dstrike w:val="0"/>
          <w:sz w:val="32"/>
          <w:szCs w:val="32"/>
          <w:u w:val="none"/>
          <w:lang w:eastAsia="zh-CN"/>
        </w:rPr>
        <w:t>122号）</w:t>
      </w:r>
      <w:r>
        <w:rPr>
          <w:rFonts w:hint="default" w:ascii="Times New Roman" w:hAnsi="Times New Roman" w:eastAsia="方正仿宋简体" w:cs="Times New Roman"/>
          <w:b w:val="0"/>
          <w:bCs w:val="0"/>
          <w:strike w:val="0"/>
          <w:dstrike w:val="0"/>
          <w:sz w:val="32"/>
          <w:szCs w:val="32"/>
          <w:u w:val="none"/>
        </w:rPr>
        <w:t>》</w:t>
      </w:r>
      <w:r>
        <w:rPr>
          <w:rFonts w:hint="eastAsia" w:ascii="Times New Roman" w:hAnsi="Times New Roman" w:eastAsia="方正仿宋简体" w:cs="Times New Roman"/>
          <w:b w:val="0"/>
          <w:bCs w:val="0"/>
          <w:strike w:val="0"/>
          <w:dstrike w:val="0"/>
          <w:sz w:val="32"/>
          <w:szCs w:val="32"/>
          <w:u w:val="none"/>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简体" w:cs="Times New Roman"/>
          <w:sz w:val="32"/>
          <w:szCs w:val="32"/>
          <w:lang w:eastAsia="zh-CN"/>
        </w:rPr>
      </w:pPr>
      <w:bookmarkStart w:id="1" w:name="_Toc21797"/>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eastAsia="zh-CN"/>
        </w:rPr>
        <w:t>二</w:t>
      </w:r>
      <w:r>
        <w:rPr>
          <w:rFonts w:hint="default" w:ascii="Times New Roman" w:hAnsi="Times New Roman" w:eastAsia="方正仿宋简体" w:cs="Times New Roman"/>
          <w:sz w:val="32"/>
          <w:szCs w:val="32"/>
        </w:rPr>
        <w:t>）促进快递业发展的有关政策</w:t>
      </w:r>
      <w:bookmarkEnd w:id="1"/>
      <w:r>
        <w:rPr>
          <w:rFonts w:hint="default" w:ascii="Times New Roman" w:hAnsi="Times New Roman" w:eastAsia="方正仿宋简体" w:cs="Times New Roman"/>
          <w:sz w:val="32"/>
          <w:szCs w:val="32"/>
        </w:rPr>
        <w:t>。快递企业用电、用气、用热价格按照不高于一般工业标准执行。对经交通运输、邮政管理部门审定符合条件的快件运输车辆，享受收费公路“绿色通道”优惠政策，减征或免征车辆通行费，降低快件运输成本。</w:t>
      </w:r>
      <w:r>
        <w:rPr>
          <w:rFonts w:hint="eastAsia" w:ascii="Times New Roman" w:hAnsi="Times New Roman" w:eastAsia="方正仿宋简体" w:cs="Times New Roman"/>
          <w:sz w:val="32"/>
          <w:szCs w:val="32"/>
          <w:lang w:eastAsia="zh-CN"/>
        </w:rPr>
        <w:t>（《关于促进快递业发展的实施意见》（新政发〔2016〕92号</w:t>
      </w:r>
      <w:r>
        <w:rPr>
          <w:rFonts w:hint="default" w:ascii="Times New Roman" w:hAnsi="Times New Roman" w:eastAsia="方正仿宋简体" w:cs="Times New Roman"/>
          <w:sz w:val="32"/>
          <w:szCs w:val="32"/>
        </w:rPr>
        <w:t>）</w:t>
      </w:r>
      <w:r>
        <w:rPr>
          <w:rFonts w:hint="eastAsia" w:ascii="Times New Roman" w:hAnsi="Times New Roman" w:eastAsia="方正仿宋简体"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第四章  配套服务政策</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u w:val="none"/>
        </w:rPr>
      </w:pPr>
      <w:r>
        <w:rPr>
          <w:rFonts w:hint="default" w:ascii="Times New Roman" w:hAnsi="Times New Roman" w:eastAsia="方正黑体简体" w:cs="Times New Roman"/>
          <w:color w:val="auto"/>
          <w:sz w:val="32"/>
          <w:szCs w:val="32"/>
          <w:u w:val="none"/>
        </w:rPr>
        <w:t>第</w:t>
      </w:r>
      <w:r>
        <w:rPr>
          <w:rFonts w:hint="default" w:ascii="Times New Roman" w:hAnsi="Times New Roman" w:eastAsia="方正黑体简体" w:cs="Times New Roman"/>
          <w:color w:val="auto"/>
          <w:sz w:val="32"/>
          <w:szCs w:val="32"/>
          <w:u w:val="none"/>
          <w:lang w:eastAsia="zh-CN"/>
        </w:rPr>
        <w:t>八</w:t>
      </w:r>
      <w:r>
        <w:rPr>
          <w:rFonts w:hint="default" w:ascii="Times New Roman" w:hAnsi="Times New Roman" w:eastAsia="方正黑体简体" w:cs="Times New Roman"/>
          <w:color w:val="auto"/>
          <w:sz w:val="32"/>
          <w:szCs w:val="32"/>
          <w:u w:val="none"/>
        </w:rPr>
        <w:t>条</w:t>
      </w:r>
      <w:r>
        <w:rPr>
          <w:rFonts w:hint="default" w:ascii="Times New Roman" w:hAnsi="Times New Roman" w:eastAsia="方正仿宋简体" w:cs="Times New Roman"/>
          <w:color w:val="auto"/>
          <w:sz w:val="32"/>
          <w:szCs w:val="32"/>
          <w:u w:val="none"/>
        </w:rPr>
        <w:t xml:space="preserve">  投资者及企业员工及随迁子女在就医、入托、入学（</w:t>
      </w:r>
      <w:r>
        <w:rPr>
          <w:rFonts w:hint="eastAsia" w:ascii="Times New Roman" w:hAnsi="Times New Roman" w:eastAsia="方正仿宋简体" w:cs="Times New Roman"/>
          <w:color w:val="auto"/>
          <w:sz w:val="32"/>
          <w:szCs w:val="32"/>
          <w:u w:val="none"/>
          <w:lang w:eastAsia="zh-CN"/>
        </w:rPr>
        <w:t>幼儿园、</w:t>
      </w:r>
      <w:r>
        <w:rPr>
          <w:rFonts w:hint="default" w:ascii="Times New Roman" w:hAnsi="Times New Roman" w:eastAsia="方正仿宋简体" w:cs="Times New Roman"/>
          <w:color w:val="auto"/>
          <w:sz w:val="32"/>
          <w:szCs w:val="32"/>
          <w:u w:val="none"/>
        </w:rPr>
        <w:t>小学、</w:t>
      </w:r>
      <w:r>
        <w:rPr>
          <w:rFonts w:hint="eastAsia" w:ascii="Times New Roman" w:hAnsi="Times New Roman" w:eastAsia="方正仿宋简体" w:cs="Times New Roman"/>
          <w:color w:val="auto"/>
          <w:sz w:val="32"/>
          <w:szCs w:val="32"/>
          <w:u w:val="none"/>
          <w:lang w:eastAsia="zh-CN"/>
        </w:rPr>
        <w:t>初中</w:t>
      </w:r>
      <w:r>
        <w:rPr>
          <w:rFonts w:hint="default" w:ascii="Times New Roman" w:hAnsi="Times New Roman" w:eastAsia="方正仿宋简体" w:cs="Times New Roman"/>
          <w:color w:val="auto"/>
          <w:sz w:val="32"/>
          <w:szCs w:val="32"/>
          <w:u w:val="none"/>
        </w:rPr>
        <w:t>）方面享受本地居民同等待遇，并由</w:t>
      </w:r>
      <w:r>
        <w:rPr>
          <w:rFonts w:hint="default" w:ascii="Times New Roman" w:hAnsi="Times New Roman" w:eastAsia="方正仿宋简体" w:cs="Times New Roman"/>
          <w:color w:val="auto"/>
          <w:sz w:val="32"/>
          <w:szCs w:val="32"/>
          <w:u w:val="none"/>
          <w:lang w:eastAsia="zh-CN"/>
        </w:rPr>
        <w:t>十三师新星市</w:t>
      </w:r>
      <w:r>
        <w:rPr>
          <w:rFonts w:hint="default" w:ascii="Times New Roman" w:hAnsi="Times New Roman" w:eastAsia="方正仿宋简体" w:cs="Times New Roman"/>
          <w:color w:val="auto"/>
          <w:sz w:val="32"/>
          <w:szCs w:val="32"/>
          <w:u w:val="none"/>
        </w:rPr>
        <w:t>有关部门协调安排。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黑体简体" w:cs="Times New Roman"/>
          <w:color w:val="auto"/>
          <w:sz w:val="32"/>
          <w:szCs w:val="32"/>
          <w:u w:val="none"/>
        </w:rPr>
        <w:t>第</w:t>
      </w:r>
      <w:r>
        <w:rPr>
          <w:rFonts w:hint="default" w:ascii="Times New Roman" w:hAnsi="Times New Roman" w:eastAsia="方正黑体简体" w:cs="Times New Roman"/>
          <w:color w:val="auto"/>
          <w:sz w:val="32"/>
          <w:szCs w:val="32"/>
          <w:u w:val="none"/>
          <w:lang w:eastAsia="zh-CN"/>
        </w:rPr>
        <w:t>九</w:t>
      </w:r>
      <w:r>
        <w:rPr>
          <w:rFonts w:hint="default" w:ascii="Times New Roman" w:hAnsi="Times New Roman" w:eastAsia="方正黑体简体" w:cs="Times New Roman"/>
          <w:color w:val="auto"/>
          <w:sz w:val="32"/>
          <w:szCs w:val="32"/>
          <w:u w:val="none"/>
        </w:rPr>
        <w:t>条</w:t>
      </w:r>
      <w:r>
        <w:rPr>
          <w:rFonts w:hint="default" w:ascii="Times New Roman" w:hAnsi="Times New Roman" w:eastAsia="方正黑体简体" w:cs="Times New Roman"/>
          <w:color w:val="auto"/>
          <w:sz w:val="32"/>
          <w:szCs w:val="32"/>
        </w:rPr>
        <w:t xml:space="preserve"> </w:t>
      </w:r>
      <w:r>
        <w:rPr>
          <w:rFonts w:hint="default" w:ascii="Times New Roman" w:hAnsi="Times New Roman" w:eastAsia="方正仿宋简体" w:cs="Times New Roman"/>
          <w:color w:val="auto"/>
          <w:sz w:val="32"/>
          <w:szCs w:val="32"/>
        </w:rPr>
        <w:t xml:space="preserve"> </w:t>
      </w:r>
      <w:r>
        <w:rPr>
          <w:rFonts w:hint="default" w:ascii="Times New Roman" w:hAnsi="Times New Roman" w:eastAsia="方正仿宋简体" w:cs="Times New Roman"/>
          <w:color w:val="auto"/>
          <w:sz w:val="32"/>
          <w:szCs w:val="32"/>
          <w:lang w:eastAsia="zh-CN"/>
        </w:rPr>
        <w:t>十三师新星市</w:t>
      </w:r>
      <w:r>
        <w:rPr>
          <w:rFonts w:hint="default" w:ascii="Times New Roman" w:hAnsi="Times New Roman" w:eastAsia="方正仿宋简体" w:cs="Times New Roman"/>
          <w:color w:val="auto"/>
          <w:sz w:val="32"/>
          <w:szCs w:val="32"/>
        </w:rPr>
        <w:t>为投资者提供优质服务，凡第</w:t>
      </w:r>
      <w:r>
        <w:rPr>
          <w:rFonts w:hint="default" w:ascii="Times New Roman" w:hAnsi="Times New Roman" w:eastAsia="方正仿宋简体" w:cs="Times New Roman"/>
          <w:color w:val="auto"/>
          <w:sz w:val="32"/>
          <w:szCs w:val="32"/>
          <w:lang w:eastAsia="zh-CN"/>
        </w:rPr>
        <w:t>十三师新星市</w:t>
      </w:r>
      <w:r>
        <w:rPr>
          <w:rFonts w:hint="default" w:ascii="Times New Roman" w:hAnsi="Times New Roman" w:eastAsia="方正仿宋简体" w:cs="Times New Roman"/>
          <w:color w:val="auto"/>
          <w:sz w:val="32"/>
          <w:szCs w:val="32"/>
        </w:rPr>
        <w:t>权限范围内的各项手续，在投资者提供有效资料的前提下，各行政审批部门按照对口责任实行全程无偿代办、协办或领办，压缩审批时限，跟踪落实直至办结。涉及到国家、自治区、兵团办理的各类手续由各行业部门帮助协调办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黑体简体" w:cs="Times New Roman"/>
          <w:sz w:val="32"/>
          <w:szCs w:val="32"/>
        </w:rPr>
      </w:pPr>
      <w:r>
        <w:rPr>
          <w:rFonts w:hint="default" w:ascii="Times New Roman" w:hAnsi="Times New Roman" w:eastAsia="方正黑体简体" w:cs="Times New Roman"/>
          <w:sz w:val="32"/>
          <w:szCs w:val="32"/>
        </w:rPr>
        <w:t>第</w:t>
      </w:r>
      <w:r>
        <w:rPr>
          <w:rFonts w:hint="default" w:ascii="Times New Roman" w:hAnsi="Times New Roman" w:eastAsia="方正黑体简体" w:cs="Times New Roman"/>
          <w:sz w:val="32"/>
          <w:szCs w:val="32"/>
          <w:lang w:eastAsia="zh-CN"/>
        </w:rPr>
        <w:t>五</w:t>
      </w:r>
      <w:r>
        <w:rPr>
          <w:rFonts w:hint="default" w:ascii="Times New Roman" w:hAnsi="Times New Roman" w:eastAsia="方正黑体简体" w:cs="Times New Roman"/>
          <w:sz w:val="32"/>
          <w:szCs w:val="32"/>
        </w:rPr>
        <w:t>章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bCs w:val="0"/>
          <w:color w:val="auto"/>
          <w:sz w:val="32"/>
          <w:szCs w:val="32"/>
          <w:highlight w:val="none"/>
          <w:u w:val="none"/>
          <w:lang w:val="en-US" w:eastAsia="zh-CN"/>
        </w:rPr>
      </w:pPr>
      <w:r>
        <w:rPr>
          <w:rFonts w:hint="default" w:ascii="Times New Roman" w:hAnsi="Times New Roman" w:eastAsia="方正黑体简体" w:cs="Times New Roman"/>
          <w:sz w:val="32"/>
          <w:szCs w:val="32"/>
        </w:rPr>
        <w:t>第</w:t>
      </w:r>
      <w:r>
        <w:rPr>
          <w:rFonts w:hint="default" w:ascii="Times New Roman" w:hAnsi="Times New Roman" w:eastAsia="方正黑体简体" w:cs="Times New Roman"/>
          <w:sz w:val="32"/>
          <w:szCs w:val="32"/>
          <w:lang w:eastAsia="zh-CN"/>
        </w:rPr>
        <w:t>十</w:t>
      </w:r>
      <w:r>
        <w:rPr>
          <w:rFonts w:hint="default" w:ascii="Times New Roman" w:hAnsi="Times New Roman" w:eastAsia="方正黑体简体" w:cs="Times New Roman"/>
          <w:sz w:val="32"/>
          <w:szCs w:val="32"/>
        </w:rPr>
        <w:t>条</w:t>
      </w:r>
      <w:r>
        <w:rPr>
          <w:rFonts w:hint="default" w:ascii="Times New Roman" w:hAnsi="Times New Roman" w:eastAsia="方正仿宋简体" w:cs="Times New Roman"/>
          <w:sz w:val="32"/>
          <w:szCs w:val="32"/>
        </w:rPr>
        <w:t xml:space="preserve">  </w:t>
      </w:r>
      <w:r>
        <w:rPr>
          <w:rFonts w:hint="eastAsia" w:ascii="Times New Roman" w:hAnsi="Times New Roman" w:eastAsia="方正仿宋简体" w:cs="Times New Roman"/>
          <w:sz w:val="32"/>
          <w:szCs w:val="32"/>
          <w:lang w:eastAsia="zh-CN"/>
        </w:rPr>
        <w:t>本政策相关条款</w:t>
      </w:r>
      <w:r>
        <w:rPr>
          <w:rFonts w:hint="default" w:ascii="Times New Roman" w:hAnsi="Times New Roman" w:eastAsia="方正仿宋简体" w:cs="Times New Roman"/>
          <w:sz w:val="32"/>
          <w:szCs w:val="32"/>
          <w:lang w:eastAsia="zh-CN"/>
        </w:rPr>
        <w:t>分别由师市发改委、税务局、人社局等相关部门负责解释，</w:t>
      </w:r>
      <w:r>
        <w:rPr>
          <w:rFonts w:hint="default" w:ascii="Times New Roman" w:hAnsi="Times New Roman" w:eastAsia="方正仿宋简体" w:cs="Times New Roman"/>
          <w:b w:val="0"/>
          <w:bCs w:val="0"/>
          <w:color w:val="auto"/>
          <w:sz w:val="32"/>
          <w:szCs w:val="32"/>
          <w:highlight w:val="none"/>
          <w:u w:val="none"/>
          <w:lang w:val="en-US" w:eastAsia="zh-CN"/>
        </w:rPr>
        <w:t>如遇国家、兵团及</w:t>
      </w:r>
      <w:bookmarkStart w:id="2" w:name="_GoBack"/>
      <w:bookmarkEnd w:id="2"/>
      <w:r>
        <w:rPr>
          <w:rFonts w:hint="default" w:ascii="Times New Roman" w:hAnsi="Times New Roman" w:eastAsia="方正仿宋简体" w:cs="Times New Roman"/>
          <w:b w:val="0"/>
          <w:bCs w:val="0"/>
          <w:color w:val="auto"/>
          <w:sz w:val="32"/>
          <w:szCs w:val="32"/>
          <w:highlight w:val="none"/>
          <w:u w:val="none"/>
          <w:lang w:val="en-US" w:eastAsia="zh-CN"/>
        </w:rPr>
        <w:t>师市相关政策调整，相关条款内容与新政策规定不一致的，按照新政策规定执行。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方正黑体简体" w:cs="Times New Roman"/>
          <w:sz w:val="32"/>
          <w:szCs w:val="32"/>
        </w:rPr>
        <w:t>第</w:t>
      </w:r>
      <w:r>
        <w:rPr>
          <w:rFonts w:hint="default" w:ascii="Times New Roman" w:hAnsi="Times New Roman" w:eastAsia="方正黑体简体" w:cs="Times New Roman"/>
          <w:sz w:val="32"/>
          <w:szCs w:val="32"/>
          <w:lang w:eastAsia="zh-CN"/>
        </w:rPr>
        <w:t>十一</w:t>
      </w:r>
      <w:r>
        <w:rPr>
          <w:rFonts w:hint="default" w:ascii="Times New Roman" w:hAnsi="Times New Roman" w:eastAsia="方正黑体简体" w:cs="Times New Roman"/>
          <w:sz w:val="32"/>
          <w:szCs w:val="32"/>
        </w:rPr>
        <w:t>条</w:t>
      </w:r>
      <w:r>
        <w:rPr>
          <w:rFonts w:hint="default" w:ascii="Times New Roman" w:hAnsi="Times New Roman" w:eastAsia="方正仿宋简体" w:cs="Times New Roman"/>
          <w:sz w:val="32"/>
          <w:szCs w:val="32"/>
        </w:rPr>
        <w:t xml:space="preserve">  本优惠政策自</w:t>
      </w:r>
      <w:r>
        <w:rPr>
          <w:rFonts w:hint="default" w:ascii="Times New Roman" w:hAnsi="Times New Roman" w:eastAsia="方正仿宋简体" w:cs="Times New Roman"/>
          <w:sz w:val="32"/>
          <w:szCs w:val="32"/>
          <w:lang w:eastAsia="zh-CN"/>
        </w:rPr>
        <w:t>印</w:t>
      </w:r>
      <w:r>
        <w:rPr>
          <w:rFonts w:hint="default" w:ascii="Times New Roman" w:hAnsi="Times New Roman" w:eastAsia="方正仿宋简体" w:cs="Times New Roman"/>
          <w:sz w:val="32"/>
          <w:szCs w:val="32"/>
        </w:rPr>
        <w:t>发之日起</w:t>
      </w:r>
      <w:r>
        <w:rPr>
          <w:rFonts w:hint="default" w:ascii="Times New Roman" w:hAnsi="Times New Roman" w:eastAsia="方正仿宋简体" w:cs="Times New Roman"/>
          <w:sz w:val="32"/>
          <w:szCs w:val="32"/>
          <w:lang w:eastAsia="zh-CN"/>
        </w:rPr>
        <w:t>施</w:t>
      </w:r>
      <w:r>
        <w:rPr>
          <w:rFonts w:hint="default" w:ascii="Times New Roman" w:hAnsi="Times New Roman" w:eastAsia="方正仿宋简体" w:cs="Times New Roman"/>
          <w:sz w:val="32"/>
          <w:szCs w:val="32"/>
        </w:rPr>
        <w:t>行</w:t>
      </w:r>
      <w:r>
        <w:rPr>
          <w:rFonts w:hint="default" w:ascii="Times New Roman" w:hAnsi="Times New Roman" w:eastAsia="方正仿宋简体" w:cs="Times New Roman"/>
          <w:sz w:val="32"/>
          <w:szCs w:val="32"/>
          <w:lang w:eastAsia="zh-CN"/>
        </w:rPr>
        <w:t>。</w:t>
      </w:r>
    </w:p>
    <w:sectPr>
      <w:footerReference r:id="rId3" w:type="default"/>
      <w:footerReference r:id="rId4" w:type="even"/>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30304000000000000"/>
    <w:charset w:val="7A"/>
    <w:family w:val="auto"/>
    <w:pitch w:val="default"/>
    <w:sig w:usb0="E7FFAEFF" w:usb1="F9FFFFFF" w:usb2="000FFDFF" w:usb3="00000000" w:csb0="603F01FF" w:csb1="FFFF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swiss"/>
    <w:pitch w:val="default"/>
    <w:sig w:usb0="00000000" w:usb1="00000000" w:usb2="00000029" w:usb3="00000000" w:csb0="200101FF" w:csb1="20280000"/>
  </w:font>
  <w:font w:name="仿宋_GB2312">
    <w:altName w:val="宋体"/>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047111"/>
      <w:docPartObj>
        <w:docPartGallery w:val="autotext"/>
      </w:docPartObj>
    </w:sdtPr>
    <w:sdtContent>
      <w:p>
        <w:pPr>
          <w:pStyle w:val="8"/>
          <w:jc w:val="right"/>
        </w:pPr>
        <w:r>
          <w:rPr>
            <w:rFonts w:hint="eastAsia" w:ascii="方正仿宋简体" w:eastAsia="方正仿宋简体"/>
            <w:sz w:val="28"/>
            <w:szCs w:val="28"/>
          </w:rPr>
          <w:t>-</w:t>
        </w:r>
        <w:r>
          <w:rPr>
            <w:rFonts w:hint="eastAsia" w:ascii="方正仿宋简体" w:eastAsia="方正仿宋简体"/>
            <w:sz w:val="28"/>
            <w:szCs w:val="28"/>
          </w:rPr>
          <w:fldChar w:fldCharType="begin"/>
        </w:r>
        <w:r>
          <w:rPr>
            <w:rFonts w:hint="eastAsia" w:ascii="方正仿宋简体" w:eastAsia="方正仿宋简体"/>
            <w:sz w:val="28"/>
            <w:szCs w:val="28"/>
          </w:rPr>
          <w:instrText xml:space="preserve"> PAGE   \* MERGEFORMAT </w:instrText>
        </w:r>
        <w:r>
          <w:rPr>
            <w:rFonts w:hint="eastAsia" w:ascii="方正仿宋简体" w:eastAsia="方正仿宋简体"/>
            <w:sz w:val="28"/>
            <w:szCs w:val="28"/>
          </w:rPr>
          <w:fldChar w:fldCharType="separate"/>
        </w:r>
        <w:r>
          <w:rPr>
            <w:rFonts w:ascii="方正仿宋简体" w:eastAsia="方正仿宋简体"/>
            <w:sz w:val="28"/>
            <w:szCs w:val="28"/>
            <w:lang w:val="zh-CN"/>
          </w:rPr>
          <w:t>1</w:t>
        </w:r>
        <w:r>
          <w:rPr>
            <w:rFonts w:hint="eastAsia" w:ascii="方正仿宋简体" w:eastAsia="方正仿宋简体"/>
            <w:sz w:val="28"/>
            <w:szCs w:val="28"/>
          </w:rPr>
          <w:fldChar w:fldCharType="end"/>
        </w:r>
        <w:r>
          <w:rPr>
            <w:rFonts w:hint="eastAsia" w:ascii="方正仿宋简体" w:eastAsia="方正仿宋简体"/>
            <w:sz w:val="28"/>
            <w:szCs w:val="28"/>
          </w:rPr>
          <w:t>-</w:t>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2047115"/>
      <w:docPartObj>
        <w:docPartGallery w:val="autotext"/>
      </w:docPartObj>
    </w:sdtPr>
    <w:sdtContent>
      <w:p>
        <w:pPr>
          <w:pStyle w:val="8"/>
        </w:pPr>
        <w:r>
          <w:rPr>
            <w:rFonts w:hint="eastAsia" w:ascii="方正仿宋简体" w:eastAsia="方正仿宋简体"/>
            <w:sz w:val="28"/>
            <w:szCs w:val="28"/>
          </w:rPr>
          <w:t>-</w:t>
        </w:r>
        <w:r>
          <w:rPr>
            <w:rFonts w:hint="eastAsia" w:ascii="方正仿宋简体" w:eastAsia="方正仿宋简体"/>
            <w:sz w:val="28"/>
            <w:szCs w:val="28"/>
          </w:rPr>
          <w:fldChar w:fldCharType="begin"/>
        </w:r>
        <w:r>
          <w:rPr>
            <w:rFonts w:hint="eastAsia" w:ascii="方正仿宋简体" w:eastAsia="方正仿宋简体"/>
            <w:sz w:val="28"/>
            <w:szCs w:val="28"/>
          </w:rPr>
          <w:instrText xml:space="preserve"> PAGE   \* MERGEFORMAT </w:instrText>
        </w:r>
        <w:r>
          <w:rPr>
            <w:rFonts w:hint="eastAsia" w:ascii="方正仿宋简体" w:eastAsia="方正仿宋简体"/>
            <w:sz w:val="28"/>
            <w:szCs w:val="28"/>
          </w:rPr>
          <w:fldChar w:fldCharType="separate"/>
        </w:r>
        <w:r>
          <w:rPr>
            <w:rFonts w:ascii="方正仿宋简体" w:eastAsia="方正仿宋简体"/>
            <w:sz w:val="28"/>
            <w:szCs w:val="28"/>
            <w:lang w:val="zh-CN"/>
          </w:rPr>
          <w:t>12</w:t>
        </w:r>
        <w:r>
          <w:rPr>
            <w:rFonts w:hint="eastAsia" w:ascii="方正仿宋简体" w:eastAsia="方正仿宋简体"/>
            <w:sz w:val="28"/>
            <w:szCs w:val="28"/>
          </w:rPr>
          <w:fldChar w:fldCharType="end"/>
        </w:r>
        <w:r>
          <w:rPr>
            <w:rFonts w:hint="eastAsia" w:ascii="方正仿宋简体" w:eastAsia="方正仿宋简体"/>
            <w:sz w:val="28"/>
            <w:szCs w:val="28"/>
          </w:rPr>
          <w:t>-</w:t>
        </w:r>
      </w:p>
    </w:sdtContent>
  </w:sdt>
  <w:p>
    <w:pPr>
      <w:pStyle w:val="8"/>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ZiNmRmYjNjYmRhZDcyZGZkZWNlYmNiOTliMjkyMDcifQ=="/>
  </w:docVars>
  <w:rsids>
    <w:rsidRoot w:val="00CE0C40"/>
    <w:rsid w:val="000056F4"/>
    <w:rsid w:val="000E0D4C"/>
    <w:rsid w:val="00116F1D"/>
    <w:rsid w:val="00187FE6"/>
    <w:rsid w:val="00193AF7"/>
    <w:rsid w:val="001E2C69"/>
    <w:rsid w:val="001E3D34"/>
    <w:rsid w:val="00204A36"/>
    <w:rsid w:val="00211BFB"/>
    <w:rsid w:val="002266FE"/>
    <w:rsid w:val="002C0C90"/>
    <w:rsid w:val="003218DD"/>
    <w:rsid w:val="003C0562"/>
    <w:rsid w:val="003D2580"/>
    <w:rsid w:val="003F12EB"/>
    <w:rsid w:val="004B57EB"/>
    <w:rsid w:val="00506091"/>
    <w:rsid w:val="0051625B"/>
    <w:rsid w:val="005465D9"/>
    <w:rsid w:val="00553875"/>
    <w:rsid w:val="0056661B"/>
    <w:rsid w:val="005708E3"/>
    <w:rsid w:val="005777A1"/>
    <w:rsid w:val="005812EB"/>
    <w:rsid w:val="00596412"/>
    <w:rsid w:val="005C1D0C"/>
    <w:rsid w:val="005E4E74"/>
    <w:rsid w:val="006A6320"/>
    <w:rsid w:val="006B4F6D"/>
    <w:rsid w:val="0071490B"/>
    <w:rsid w:val="00724C30"/>
    <w:rsid w:val="00743AE9"/>
    <w:rsid w:val="007E1386"/>
    <w:rsid w:val="00845D17"/>
    <w:rsid w:val="00901A35"/>
    <w:rsid w:val="00912948"/>
    <w:rsid w:val="00925801"/>
    <w:rsid w:val="00931922"/>
    <w:rsid w:val="00931CCF"/>
    <w:rsid w:val="00951C97"/>
    <w:rsid w:val="009A728E"/>
    <w:rsid w:val="009C3B51"/>
    <w:rsid w:val="009C4D6D"/>
    <w:rsid w:val="009C4E80"/>
    <w:rsid w:val="009E4892"/>
    <w:rsid w:val="009F5AF7"/>
    <w:rsid w:val="00A27B94"/>
    <w:rsid w:val="00A96337"/>
    <w:rsid w:val="00AB3AE8"/>
    <w:rsid w:val="00AB5637"/>
    <w:rsid w:val="00AC112D"/>
    <w:rsid w:val="00B41444"/>
    <w:rsid w:val="00B60FE0"/>
    <w:rsid w:val="00B7479A"/>
    <w:rsid w:val="00BB4AB9"/>
    <w:rsid w:val="00C20F2B"/>
    <w:rsid w:val="00C628BC"/>
    <w:rsid w:val="00C6484B"/>
    <w:rsid w:val="00C7217D"/>
    <w:rsid w:val="00CE0C40"/>
    <w:rsid w:val="00CE5585"/>
    <w:rsid w:val="00D2072B"/>
    <w:rsid w:val="00D81E65"/>
    <w:rsid w:val="00D93644"/>
    <w:rsid w:val="00D93B54"/>
    <w:rsid w:val="00DC2296"/>
    <w:rsid w:val="00DD457A"/>
    <w:rsid w:val="00DD50DA"/>
    <w:rsid w:val="00E42ADE"/>
    <w:rsid w:val="00E94723"/>
    <w:rsid w:val="00EA4DAE"/>
    <w:rsid w:val="00EE3201"/>
    <w:rsid w:val="00EF419D"/>
    <w:rsid w:val="00F014F1"/>
    <w:rsid w:val="00F02D90"/>
    <w:rsid w:val="00F1163C"/>
    <w:rsid w:val="00F97C93"/>
    <w:rsid w:val="00FA3D43"/>
    <w:rsid w:val="00FE439E"/>
    <w:rsid w:val="00FF579F"/>
    <w:rsid w:val="03335929"/>
    <w:rsid w:val="04591EA4"/>
    <w:rsid w:val="074D70AA"/>
    <w:rsid w:val="079D3F4F"/>
    <w:rsid w:val="082B028F"/>
    <w:rsid w:val="104D3F91"/>
    <w:rsid w:val="10E57BA3"/>
    <w:rsid w:val="130A5188"/>
    <w:rsid w:val="130F1C92"/>
    <w:rsid w:val="151E4288"/>
    <w:rsid w:val="171D250B"/>
    <w:rsid w:val="174B24D6"/>
    <w:rsid w:val="1794483D"/>
    <w:rsid w:val="17A244DF"/>
    <w:rsid w:val="1C453BB8"/>
    <w:rsid w:val="1CD3224F"/>
    <w:rsid w:val="1EED7627"/>
    <w:rsid w:val="1FBF8408"/>
    <w:rsid w:val="23C2669D"/>
    <w:rsid w:val="270F2F4A"/>
    <w:rsid w:val="282D4C60"/>
    <w:rsid w:val="2C2C26F3"/>
    <w:rsid w:val="2D4F068E"/>
    <w:rsid w:val="2DA90DF0"/>
    <w:rsid w:val="2E154936"/>
    <w:rsid w:val="2E7F3C01"/>
    <w:rsid w:val="2F014EC0"/>
    <w:rsid w:val="33335030"/>
    <w:rsid w:val="34357734"/>
    <w:rsid w:val="357D26E3"/>
    <w:rsid w:val="35D52785"/>
    <w:rsid w:val="379D425E"/>
    <w:rsid w:val="37B869AF"/>
    <w:rsid w:val="37EBE649"/>
    <w:rsid w:val="390B3B10"/>
    <w:rsid w:val="3A432061"/>
    <w:rsid w:val="3A4841BB"/>
    <w:rsid w:val="3DF043C7"/>
    <w:rsid w:val="3E367DA5"/>
    <w:rsid w:val="3E3B0C18"/>
    <w:rsid w:val="3E7503BC"/>
    <w:rsid w:val="3E8530D2"/>
    <w:rsid w:val="40996BDB"/>
    <w:rsid w:val="42B50FD7"/>
    <w:rsid w:val="439E2231"/>
    <w:rsid w:val="43D520C8"/>
    <w:rsid w:val="440545B4"/>
    <w:rsid w:val="45820575"/>
    <w:rsid w:val="46B46C78"/>
    <w:rsid w:val="495F0815"/>
    <w:rsid w:val="49D4054D"/>
    <w:rsid w:val="49D84B1E"/>
    <w:rsid w:val="4BAD2BD7"/>
    <w:rsid w:val="4DC040DC"/>
    <w:rsid w:val="4DF11E27"/>
    <w:rsid w:val="50A51A34"/>
    <w:rsid w:val="52044D0A"/>
    <w:rsid w:val="529A5BAF"/>
    <w:rsid w:val="536A5A47"/>
    <w:rsid w:val="53A51C07"/>
    <w:rsid w:val="53FE4D68"/>
    <w:rsid w:val="548509E8"/>
    <w:rsid w:val="54AA4B49"/>
    <w:rsid w:val="553D678F"/>
    <w:rsid w:val="56E11A30"/>
    <w:rsid w:val="57B7724E"/>
    <w:rsid w:val="5AD64106"/>
    <w:rsid w:val="5BB07726"/>
    <w:rsid w:val="5BB750D4"/>
    <w:rsid w:val="5C1241F9"/>
    <w:rsid w:val="5C421701"/>
    <w:rsid w:val="5D1609A0"/>
    <w:rsid w:val="5D672C71"/>
    <w:rsid w:val="5DF5ADD6"/>
    <w:rsid w:val="5E121199"/>
    <w:rsid w:val="5E1D45E2"/>
    <w:rsid w:val="5E661C3E"/>
    <w:rsid w:val="5FDF1243"/>
    <w:rsid w:val="5FFEBD1A"/>
    <w:rsid w:val="62232D6E"/>
    <w:rsid w:val="643673C9"/>
    <w:rsid w:val="65340B1E"/>
    <w:rsid w:val="66257369"/>
    <w:rsid w:val="673F2A07"/>
    <w:rsid w:val="67D75361"/>
    <w:rsid w:val="69B511B7"/>
    <w:rsid w:val="6A1E0188"/>
    <w:rsid w:val="6AFE8329"/>
    <w:rsid w:val="6BF470F9"/>
    <w:rsid w:val="6DFF90B1"/>
    <w:rsid w:val="6E1C17A0"/>
    <w:rsid w:val="6FF186A5"/>
    <w:rsid w:val="7121382C"/>
    <w:rsid w:val="73D865C6"/>
    <w:rsid w:val="74014E16"/>
    <w:rsid w:val="744432F3"/>
    <w:rsid w:val="76B7EAB9"/>
    <w:rsid w:val="76BF69C7"/>
    <w:rsid w:val="7745352F"/>
    <w:rsid w:val="7770282C"/>
    <w:rsid w:val="78FC6592"/>
    <w:rsid w:val="79120557"/>
    <w:rsid w:val="7988057A"/>
    <w:rsid w:val="79BE711D"/>
    <w:rsid w:val="7B6D006E"/>
    <w:rsid w:val="7C4B6860"/>
    <w:rsid w:val="7D7783FC"/>
    <w:rsid w:val="7DB7126B"/>
    <w:rsid w:val="7E0C421F"/>
    <w:rsid w:val="7EFDFAD4"/>
    <w:rsid w:val="7F583C68"/>
    <w:rsid w:val="7F600D80"/>
    <w:rsid w:val="7F668FCF"/>
    <w:rsid w:val="7F6E6D9F"/>
    <w:rsid w:val="7FFB46C5"/>
    <w:rsid w:val="7FFF818F"/>
    <w:rsid w:val="8F5D807B"/>
    <w:rsid w:val="9FFF2078"/>
    <w:rsid w:val="A7EB9A1D"/>
    <w:rsid w:val="B7681717"/>
    <w:rsid w:val="BB7AF642"/>
    <w:rsid w:val="BECF77B4"/>
    <w:rsid w:val="BEDDF271"/>
    <w:rsid w:val="BFFF7F77"/>
    <w:rsid w:val="CF44FCCD"/>
    <w:rsid w:val="D4DF8ECB"/>
    <w:rsid w:val="D7EEB1CD"/>
    <w:rsid w:val="EAF90424"/>
    <w:rsid w:val="ECFFAEBE"/>
    <w:rsid w:val="EFB78B00"/>
    <w:rsid w:val="F3FE2B2F"/>
    <w:rsid w:val="F6DA7088"/>
    <w:rsid w:val="F7F64393"/>
    <w:rsid w:val="FA7E4283"/>
    <w:rsid w:val="FBBFB2ED"/>
    <w:rsid w:val="FBFF9CE0"/>
    <w:rsid w:val="FC6B2DC3"/>
    <w:rsid w:val="FCCE6EEE"/>
    <w:rsid w:val="FD5F4E41"/>
    <w:rsid w:val="FDBFB2AC"/>
    <w:rsid w:val="FDDEDE19"/>
    <w:rsid w:val="FF3F6CBD"/>
    <w:rsid w:val="FFBF19AE"/>
    <w:rsid w:val="FFCFE7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style>
  <w:style w:type="paragraph" w:styleId="3">
    <w:name w:val="annotation text"/>
    <w:basedOn w:val="1"/>
    <w:semiHidden/>
    <w:unhideWhenUsed/>
    <w:qFormat/>
    <w:uiPriority w:val="99"/>
    <w:pPr>
      <w:jc w:val="left"/>
    </w:pPr>
  </w:style>
  <w:style w:type="paragraph" w:styleId="4">
    <w:name w:val="Body Text"/>
    <w:basedOn w:val="1"/>
    <w:next w:val="5"/>
    <w:link w:val="18"/>
    <w:unhideWhenUsed/>
    <w:qFormat/>
    <w:uiPriority w:val="99"/>
    <w:rPr>
      <w:rFonts w:ascii="Times New Roman" w:hAnsi="Times New Roman" w:eastAsia="宋体" w:cs="Times New Roman"/>
    </w:rPr>
  </w:style>
  <w:style w:type="paragraph" w:styleId="5">
    <w:name w:val="Body Text First Indent"/>
    <w:basedOn w:val="4"/>
    <w:next w:val="6"/>
    <w:qFormat/>
    <w:uiPriority w:val="0"/>
  </w:style>
  <w:style w:type="paragraph" w:styleId="6">
    <w:name w:val="Body Text First Indent 2"/>
    <w:basedOn w:val="7"/>
    <w:next w:val="5"/>
    <w:unhideWhenUsed/>
    <w:qFormat/>
    <w:uiPriority w:val="0"/>
    <w:pPr>
      <w:ind w:firstLine="420" w:firstLineChars="262"/>
    </w:pPr>
    <w:rPr>
      <w:b/>
      <w:bCs/>
      <w:sz w:val="32"/>
      <w:szCs w:val="21"/>
    </w:rPr>
  </w:style>
  <w:style w:type="paragraph" w:styleId="7">
    <w:name w:val="Body Text Indent"/>
    <w:basedOn w:val="1"/>
    <w:next w:val="1"/>
    <w:unhideWhenUsed/>
    <w:qFormat/>
    <w:uiPriority w:val="99"/>
    <w:pPr>
      <w:spacing w:after="120"/>
      <w:ind w:left="420" w:leftChars="200"/>
    </w:p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Strong"/>
    <w:basedOn w:val="12"/>
    <w:qFormat/>
    <w:uiPriority w:val="22"/>
    <w:rPr>
      <w:b/>
    </w:rPr>
  </w:style>
  <w:style w:type="character" w:styleId="14">
    <w:name w:val="Emphasis"/>
    <w:basedOn w:val="12"/>
    <w:qFormat/>
    <w:uiPriority w:val="20"/>
    <w:rPr>
      <w:i/>
    </w:rPr>
  </w:style>
  <w:style w:type="paragraph" w:customStyle="1" w:styleId="15">
    <w:name w:val="Char"/>
    <w:basedOn w:val="1"/>
    <w:qFormat/>
    <w:uiPriority w:val="0"/>
    <w:pPr>
      <w:tabs>
        <w:tab w:val="left" w:pos="360"/>
      </w:tabs>
      <w:spacing w:line="300" w:lineRule="auto"/>
      <w:ind w:left="360" w:firstLine="560"/>
    </w:pPr>
    <w:rPr>
      <w:rFonts w:ascii="Tahoma" w:hAnsi="Tahoma" w:eastAsia="仿宋_GB2312"/>
      <w:sz w:val="28"/>
    </w:rPr>
  </w:style>
  <w:style w:type="character" w:customStyle="1" w:styleId="16">
    <w:name w:val="页眉 Char"/>
    <w:basedOn w:val="12"/>
    <w:link w:val="9"/>
    <w:semiHidden/>
    <w:qFormat/>
    <w:uiPriority w:val="99"/>
    <w:rPr>
      <w:sz w:val="18"/>
      <w:szCs w:val="18"/>
    </w:rPr>
  </w:style>
  <w:style w:type="character" w:customStyle="1" w:styleId="17">
    <w:name w:val="页脚 Char"/>
    <w:basedOn w:val="12"/>
    <w:link w:val="8"/>
    <w:qFormat/>
    <w:uiPriority w:val="99"/>
    <w:rPr>
      <w:sz w:val="18"/>
      <w:szCs w:val="18"/>
    </w:rPr>
  </w:style>
  <w:style w:type="character" w:customStyle="1" w:styleId="18">
    <w:name w:val="正文文本 Char"/>
    <w:basedOn w:val="12"/>
    <w:link w:val="4"/>
    <w:qFormat/>
    <w:uiPriority w:val="99"/>
    <w:rPr>
      <w:rFonts w:ascii="Times New Roman" w:hAnsi="Times New Roman" w:eastAsia="宋体" w:cs="Times New Roman"/>
    </w:rPr>
  </w:style>
  <w:style w:type="paragraph" w:customStyle="1" w:styleId="19">
    <w:name w:val="正文 New New New New New New"/>
    <w:qFormat/>
    <w:uiPriority w:val="0"/>
    <w:pPr>
      <w:widowControl w:val="0"/>
      <w:jc w:val="both"/>
    </w:pPr>
    <w:rPr>
      <w:rFonts w:ascii="Times New Roman" w:hAnsi="Times New Roman" w:eastAsia="宋体" w:cs="Times New Roman"/>
      <w:kern w:val="0"/>
      <w:sz w:val="21"/>
      <w:szCs w:val="22"/>
      <w:lang w:val="en-US" w:eastAsia="zh-CN" w:bidi="ar-SA"/>
    </w:rPr>
  </w:style>
  <w:style w:type="paragraph" w:customStyle="1" w:styleId="20">
    <w:name w:val="正文 New New New"/>
    <w:qFormat/>
    <w:uiPriority w:val="0"/>
    <w:pPr>
      <w:widowControl w:val="0"/>
      <w:jc w:val="both"/>
    </w:pPr>
    <w:rPr>
      <w:rFonts w:ascii="Times New Roman" w:hAnsi="Times New Roman" w:eastAsia="仿宋_GB2312"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3407</Words>
  <Characters>3487</Characters>
  <Lines>61</Lines>
  <Paragraphs>17</Paragraphs>
  <TotalTime>21</TotalTime>
  <ScaleCrop>false</ScaleCrop>
  <LinksUpToDate>false</LinksUpToDate>
  <CharactersWithSpaces>3528</CharactersWithSpaces>
  <Application>WPS Office_11.8.2.10505_F1E327BC-269C-435d-A152-05C5408002CA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2020-05-02T03:00:00Z</dcterms:created>
  <dc:creator>商务局（信息员）</dc:creator>
  <cp:lastModifiedBy>user</cp:lastModifiedBy>
  <cp:lastPrinted>2026-11-04T09:31:00Z</cp:lastPrinted>
  <dcterms:modified xsi:type="dcterms:W3CDTF">2026-11-04T12:44:28Z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2052-11.8.2.10505</vt:lpwstr>
  </property>
  <property fmtid="{D5CDD505-2E9C-101B-9397-08002B2CF9AE}" pid="3" name="ICV">
    <vt:lpwstr>1E7AB21320CBB587D92D996A335C2528_43</vt:lpwstr>
  </property>
  <property fmtid="{D5CDD505-2E9C-101B-9397-08002B2CF9AE}" pid="4" name="KSOTemplateDocerSaveRecord">
    <vt:lpwstr>eyJoZGlkIjoiYTVjMGFlODllMjY0ZjRlZjBjMDEyMjBkY2I4ZDU3N2YiLCJ1c2VySWQiOiI0MTI0NDMxODgifQ==</vt:lpwstr>
  </property>
</Properties>
</file>